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76902">
      <w:pPr>
        <w:pStyle w:val="198"/>
      </w:pPr>
      <w:bookmarkStart w:id="118" w:name="_GoBack"/>
      <w:bookmarkEnd w:id="118"/>
      <w:r>
        <w:t>T/</w:t>
      </w:r>
      <w:r>
        <w:rPr>
          <w:rFonts w:hint="eastAsia"/>
        </w:rPr>
        <w:t>CCMA</w:t>
      </w:r>
      <w:r>
        <w:t xml:space="preserve"> </w:t>
      </w:r>
      <w:r>
        <w:fldChar w:fldCharType="begin">
          <w:ffData>
            <w:name w:val="NSTD_CODE_F"/>
            <w:enabled/>
            <w:calcOnExit w:val="0"/>
            <w:textInput>
              <w:default w:val="XXXX"/>
            </w:textInput>
          </w:ffData>
        </w:fldChar>
      </w:r>
      <w:bookmarkStart w:id="0" w:name="NSTD_CODE_F"/>
      <w:r>
        <w:instrText xml:space="preserve"> FORMTEXT </w:instrText>
      </w:r>
      <w:r>
        <w:fldChar w:fldCharType="separate"/>
      </w:r>
      <w:r>
        <w:t>XXXX</w:t>
      </w:r>
      <w:r>
        <w:fldChar w:fldCharType="end"/>
      </w:r>
      <w:bookmarkEnd w:id="0"/>
      <w:r>
        <w:rPr>
          <w:rFonts w:hAnsi="黑体"/>
        </w:rPr>
        <w:t>—</w:t>
      </w:r>
      <w:r>
        <w:fldChar w:fldCharType="begin">
          <w:ffData>
            <w:name w:val="NSTD_CODE_B"/>
            <w:enabled/>
            <w:calcOnExit w:val="0"/>
            <w:textInput>
              <w:default w:val="XXXX"/>
            </w:textInput>
          </w:ffData>
        </w:fldChar>
      </w:r>
      <w:bookmarkStart w:id="1" w:name="NSTD_CODE_B"/>
      <w:r>
        <w:instrText xml:space="preserve"> FORMTEXT </w:instrText>
      </w:r>
      <w:r>
        <w:fldChar w:fldCharType="separate"/>
      </w:r>
      <w:r>
        <w:t>XXXX</w:t>
      </w:r>
      <w:r>
        <w:fldChar w:fldCharType="end"/>
      </w:r>
      <w:bookmarkEnd w:id="1"/>
    </w:p>
    <w:p w14:paraId="7144286C">
      <w:pPr>
        <w:pStyle w:val="199"/>
        <w:rPr>
          <w:rFonts w:hint="eastAsia" w:hAnsi="黑体"/>
        </w:rPr>
      </w:pPr>
      <w:r>
        <w:rPr>
          <w:rFonts w:hAnsi="黑体"/>
        </w:rPr>
        <w:fldChar w:fldCharType="begin">
          <w:ffData>
            <w:name w:val="OSTD_CODE"/>
            <w:enabled/>
            <w:calcOnExit w:val="0"/>
            <w:textInput/>
          </w:ffData>
        </w:fldChar>
      </w:r>
      <w:bookmarkStart w:id="2"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2"/>
    </w:p>
    <w:p w14:paraId="5ECFA800">
      <w:pPr>
        <w:spacing w:line="240" w:lineRule="auto"/>
        <w:rPr>
          <w:rFonts w:hint="eastAsia" w:ascii="黑体" w:hAnsi="黑体" w:eastAsia="黑体"/>
          <w:kern w:val="0"/>
          <w:sz w:val="10"/>
          <w:szCs w:val="10"/>
        </w:rPr>
      </w:pPr>
      <w:r>
        <w:rPr>
          <w:color w:val="000000" w:themeColor="text1"/>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-66675</wp:posOffset>
                </wp:positionH>
                <wp:positionV relativeFrom="paragraph">
                  <wp:posOffset>99695</wp:posOffset>
                </wp:positionV>
                <wp:extent cx="866775" cy="198120"/>
                <wp:effectExtent l="0" t="0" r="9525" b="11430"/>
                <wp:wrapNone/>
                <wp:docPr id="4" name="矩形 4"/>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25pt;margin-top:7.85pt;height:15.6pt;width:68.25pt;z-index:-251656192;mso-width-relative:page;mso-height-relative:page;" fillcolor="#FFFFFF" filled="t" stroked="f" coordsize="21600,21600" o:gfxdata="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Os+&#10;TtXXAAAACQEAAA8AAAAAAAAAAQAgAAAAIgAAAGRycy9kb3ducmV2LnhtbFBLAQIUABQAAAAIAIdO&#10;4kAqMPOcsgEAAF4DAAAOAAAAAAAAAAEAIAAAACYBAABkcnMvZTJvRG9jLnhtbFBLBQYAAAAABgAG&#10;AFkBAABKBQAAAAA=&#10;">
                <v:fill on="t" focussize="0,0"/>
                <v:stroke on="f"/>
                <v:imagedata o:title=""/>
                <o:lock v:ext="edit" aspectratio="f"/>
              </v:rect>
            </w:pict>
          </mc:Fallback>
        </mc:AlternateContent>
      </w: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F6CF013">
      <w:pPr>
        <w:pStyle w:val="53"/>
        <w:framePr w:w="9639" w:h="6976" w:hRule="exact" w:hSpace="0" w:vSpace="0" w:wrap="around" w:hAnchor="page" w:y="6408"/>
        <w:jc w:val="center"/>
        <w:rPr>
          <w:rFonts w:hint="eastAsia" w:ascii="黑体" w:hAnsi="黑体" w:eastAsia="黑体"/>
          <w:b w:val="0"/>
          <w:bCs w:val="0"/>
          <w:w w:val="100"/>
        </w:rPr>
      </w:pPr>
    </w:p>
    <w:p w14:paraId="7142EE34">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3" w:name="CSTD_NAME"/>
      <w:r>
        <w:instrText xml:space="preserve"> FORMTEXT </w:instrText>
      </w:r>
      <w:r>
        <w:fldChar w:fldCharType="separate"/>
      </w:r>
      <w:r>
        <w:rPr>
          <w:rFonts w:hint="eastAsia"/>
        </w:rPr>
        <w:t>擦窗机主要零部件报废</w:t>
      </w:r>
      <w:r>
        <w:fldChar w:fldCharType="end"/>
      </w:r>
      <w:bookmarkEnd w:id="3"/>
      <w:r>
        <w:rPr>
          <w:rFonts w:hint="eastAsia"/>
        </w:rPr>
        <w:t>条件</w:t>
      </w:r>
    </w:p>
    <w:p w14:paraId="2FB930E9">
      <w:pPr>
        <w:framePr w:w="9639" w:h="6974" w:hRule="exact" w:wrap="around" w:vAnchor="page" w:hAnchor="page" w:x="1419" w:y="6408" w:anchorLock="1"/>
        <w:ind w:left="-1418"/>
      </w:pPr>
    </w:p>
    <w:p w14:paraId="6E962366">
      <w:pPr>
        <w:pStyle w:val="128"/>
        <w:framePr w:w="9639" w:h="6974" w:hRule="exact" w:wrap="around" w:vAnchor="page" w:hAnchor="page" w:x="1419" w:y="6408" w:anchorLock="1"/>
        <w:textAlignment w:val="bottom"/>
        <w:rPr>
          <w:rFonts w:eastAsia="黑体"/>
          <w:szCs w:val="28"/>
        </w:rPr>
      </w:pPr>
      <w:bookmarkStart w:id="4" w:name="ESTD_NAME"/>
      <w:r>
        <w:rPr>
          <w:rFonts w:hint="eastAsia" w:ascii="黑体" w:hAnsi="黑体" w:eastAsia="黑体" w:cs="黑体"/>
          <w:sz w:val="28"/>
          <w:szCs w:val="28"/>
          <w:lang w:val="en-US" w:eastAsia="zh-CN" w:bidi="ar-SA"/>
        </w:rPr>
        <w:fldChar w:fldCharType="begin">
          <w:ffData>
            <w:name w:val="ESTD_NAME"/>
            <w:enabled/>
            <w:calcOnExit w:val="0"/>
            <w:textInput>
              <w:default w:val="Scrapping conditions for main components of the building maintenance unit"/>
            </w:textInput>
          </w:ffData>
        </w:fldChar>
      </w:r>
      <w:r>
        <w:rPr>
          <w:rFonts w:hint="eastAsia" w:ascii="黑体" w:hAnsi="黑体" w:eastAsia="黑体" w:cs="黑体"/>
          <w:sz w:val="28"/>
          <w:szCs w:val="28"/>
          <w:lang w:val="en-US" w:eastAsia="zh-CN" w:bidi="ar-SA"/>
        </w:rPr>
        <w:instrText xml:space="preserve">FORMTEXT</w:instrText>
      </w:r>
      <w:r>
        <w:rPr>
          <w:rFonts w:hint="eastAsia" w:ascii="黑体" w:hAnsi="黑体" w:eastAsia="黑体" w:cs="黑体"/>
          <w:sz w:val="28"/>
          <w:szCs w:val="28"/>
          <w:lang w:val="en-US" w:eastAsia="zh-CN" w:bidi="ar-SA"/>
        </w:rPr>
        <w:fldChar w:fldCharType="separate"/>
      </w:r>
      <w:r>
        <w:rPr>
          <w:rFonts w:hint="eastAsia" w:ascii="黑体" w:hAnsi="黑体" w:eastAsia="黑体" w:cs="黑体"/>
          <w:sz w:val="28"/>
          <w:szCs w:val="28"/>
          <w:lang w:val="en-US" w:eastAsia="zh-CN" w:bidi="ar-SA"/>
        </w:rPr>
        <w:t>Scrapping conditions for main components of the building maintenance unit</w:t>
      </w:r>
      <w:r>
        <w:rPr>
          <w:rFonts w:hint="eastAsia" w:ascii="黑体" w:hAnsi="黑体" w:eastAsia="黑体" w:cs="黑体"/>
          <w:sz w:val="28"/>
          <w:szCs w:val="28"/>
          <w:lang w:val="en-US" w:eastAsia="zh-CN" w:bidi="ar-SA"/>
        </w:rPr>
        <w:fldChar w:fldCharType="end"/>
      </w:r>
      <w:bookmarkEnd w:id="4"/>
    </w:p>
    <w:p w14:paraId="10D8E835">
      <w:pPr>
        <w:framePr w:w="9639" w:h="6974" w:hRule="exact" w:wrap="around" w:vAnchor="page" w:hAnchor="page" w:x="1419" w:y="6408" w:anchorLock="1"/>
        <w:spacing w:line="760" w:lineRule="exact"/>
        <w:ind w:left="-1418"/>
      </w:pPr>
    </w:p>
    <w:p w14:paraId="6C50FF4F">
      <w:pPr>
        <w:pStyle w:val="128"/>
        <w:framePr w:w="9639" w:h="6974" w:hRule="exact" w:wrap="around" w:vAnchor="page" w:hAnchor="page" w:x="1419" w:y="6408" w:anchorLock="1"/>
        <w:textAlignment w:val="bottom"/>
        <w:rPr>
          <w:rFonts w:eastAsia="黑体"/>
          <w:szCs w:val="28"/>
        </w:rPr>
      </w:pPr>
    </w:p>
    <w:p w14:paraId="7A5F7388">
      <w:pPr>
        <w:pStyle w:val="128"/>
        <w:framePr w:w="9639" w:h="6974" w:hRule="exact" w:wrap="around" w:vAnchor="page" w:hAnchor="page" w:x="1419" w:y="6408" w:anchorLock="1"/>
        <w:spacing w:before="440" w:after="160"/>
        <w:textAlignment w:val="bottom"/>
        <w:rPr>
          <w:sz w:val="24"/>
          <w:szCs w:val="28"/>
        </w:rPr>
      </w:pPr>
      <w:r>
        <w:rPr>
          <w:rFonts w:hint="eastAsia"/>
          <w:sz w:val="24"/>
          <w:szCs w:val="28"/>
        </w:rPr>
        <w:t>征</w:t>
      </w:r>
      <w:r>
        <w:rPr>
          <w:rFonts w:hint="eastAsia"/>
          <w:sz w:val="24"/>
          <w:szCs w:val="28"/>
          <w:lang w:eastAsia="zh-CN"/>
        </w:rPr>
        <w:t>求</w:t>
      </w:r>
      <w:r>
        <w:rPr>
          <w:rFonts w:hint="eastAsia"/>
          <w:sz w:val="24"/>
          <w:szCs w:val="28"/>
        </w:rPr>
        <w:t>意见稿</w:t>
      </w:r>
    </w:p>
    <w:p w14:paraId="40C8655B">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5" w:name="下拉2"/>
      <w:r>
        <w:rPr>
          <w:b/>
          <w:sz w:val="21"/>
          <w:szCs w:val="28"/>
        </w:rPr>
        <w:instrText xml:space="preserve"> FORMDROPDOWN </w:instrText>
      </w:r>
      <w:r>
        <w:rPr>
          <w:b/>
          <w:sz w:val="21"/>
          <w:szCs w:val="28"/>
        </w:rPr>
        <w:fldChar w:fldCharType="separate"/>
      </w:r>
      <w:r>
        <w:rPr>
          <w:b/>
          <w:sz w:val="21"/>
          <w:szCs w:val="28"/>
        </w:rPr>
        <w:fldChar w:fldCharType="end"/>
      </w:r>
      <w:bookmarkEnd w:id="5"/>
    </w:p>
    <w:p w14:paraId="62E52787">
      <w:pPr>
        <w:pStyle w:val="196"/>
        <w:framePr w:wrap="around" w:y="14176"/>
      </w:pPr>
      <w:r>
        <w:rPr>
          <w:rFonts w:ascii="黑体"/>
        </w:rPr>
        <w:fldChar w:fldCharType="begin">
          <w:ffData>
            <w:name w:val="PLSH_DATE_Y"/>
            <w:enabled/>
            <w:calcOnExit w:val="0"/>
            <w:textInput>
              <w:default w:val="XXXX"/>
              <w:maxLength w:val="4"/>
            </w:textInput>
          </w:ffData>
        </w:fldChar>
      </w:r>
      <w:bookmarkStart w:id="6"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rPr>
          <w:rFonts w:hint="eastAsia"/>
        </w:rPr>
        <w:t>发布</w:t>
      </w:r>
    </w:p>
    <w:p w14:paraId="0C2A4D39">
      <w:pPr>
        <w:pStyle w:val="197"/>
        <w:framePr w:wrap="around" w:y="14176"/>
      </w:pPr>
      <w:r>
        <w:rPr>
          <w:rFonts w:ascii="黑体"/>
        </w:rPr>
        <w:fldChar w:fldCharType="begin">
          <w:ffData>
            <w:name w:val="CROT_DATE_Y"/>
            <w:enabled/>
            <w:calcOnExit w:val="0"/>
            <w:textInput>
              <w:default w:val="XXXX"/>
              <w:maxLength w:val="4"/>
            </w:textInput>
          </w:ffData>
        </w:fldChar>
      </w:r>
      <w:bookmarkStart w:id="9"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0"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1"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实施</w:t>
      </w:r>
    </w:p>
    <w:p w14:paraId="4DE13BC1">
      <w:pPr>
        <w:pStyle w:val="154"/>
        <w:framePr w:h="584" w:hRule="exact" w:hSpace="181" w:vSpace="181" w:wrap="around" w:y="14800"/>
        <w:rPr>
          <w:rFonts w:hint="eastAsia" w:hAnsi="黑体"/>
        </w:rPr>
      </w:pPr>
      <w:r>
        <w:rPr>
          <w:rFonts w:hint="eastAsia" w:hAnsi="黑体"/>
          <w:w w:val="100"/>
          <w:sz w:val="28"/>
        </w:rPr>
        <w:t>中国工程机械工业协会</w:t>
      </w:r>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081FD137">
      <w:pPr>
        <w:pStyle w:val="159"/>
        <w:framePr w:wrap="around"/>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highlight w:val="none"/>
          <w14:textFill>
            <w14:solidFill>
              <w14:schemeClr w14:val="tx1"/>
            </w14:solidFill>
          </w14:textFill>
        </w:rPr>
        <w:t>ICS 53.020.99</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0"/>
      </w:tblGrid>
      <w:tr w14:paraId="3D93F4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5534FAAF">
            <w:pPr>
              <w:pStyle w:val="159"/>
              <w:framePr w:wrap="around"/>
              <w:rPr>
                <w:rFonts w:hint="eastAsia" w:ascii="黑体" w:hAnsi="黑体" w:eastAsia="黑体" w:cs="黑体"/>
                <w:color w:val="000000" w:themeColor="text1"/>
                <w:highlight w:val="none"/>
                <w14:textFill>
                  <w14:solidFill>
                    <w14:schemeClr w14:val="tx1"/>
                  </w14:solidFill>
                </w14:textFill>
              </w:rPr>
            </w:pPr>
            <w:r>
              <w:rPr>
                <w:rFonts w:hint="eastAsia" w:ascii="黑体" w:hAnsi="黑体" w:eastAsia="黑体" w:cs="黑体"/>
                <w:color w:val="000000" w:themeColor="text1"/>
                <w:highlight w:val="none"/>
                <w14:textFill>
                  <w14:solidFill>
                    <w14:schemeClr w14:val="tx1"/>
                  </w14:solidFill>
                </w14:textFill>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5" name="矩形 5"/>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Iri/s&#10;1QAAAAcBAAAPAAAAAAAAAAEAIAAAACIAAABkcnMvZG93bnJldi54bWxQSwECFAAUAAAACACHTuJA&#10;UPYs+7IBAABeAwAADgAAAAAAAAABACAAAAAkAQAAZHJzL2Uyb0RvYy54bWxQSwUGAAAAAAYABgBZ&#10;AQAASAUAAAAA&#10;">
                      <v:fill on="t" focussize="0,0"/>
                      <v:stroke on="f"/>
                      <v:imagedata o:title=""/>
                      <o:lock v:ext="edit" aspectratio="f"/>
                    </v:rect>
                  </w:pict>
                </mc:Fallback>
              </mc:AlternateContent>
            </w:r>
            <w:r>
              <w:rPr>
                <w:rFonts w:hint="eastAsia" w:ascii="黑体" w:hAnsi="黑体" w:eastAsia="黑体" w:cs="黑体"/>
                <w:color w:val="000000" w:themeColor="text1"/>
                <w:highlight w:val="none"/>
                <w:lang w:val="en-US" w:eastAsia="zh-CN"/>
                <w14:textFill>
                  <w14:solidFill>
                    <w14:schemeClr w14:val="tx1"/>
                  </w14:solidFill>
                </w14:textFill>
              </w:rPr>
              <w:t xml:space="preserve">CCS </w:t>
            </w:r>
            <w:r>
              <w:rPr>
                <w:rFonts w:hint="eastAsia" w:ascii="黑体" w:hAnsi="黑体" w:eastAsia="黑体" w:cs="黑体"/>
                <w:color w:val="000000" w:themeColor="text1"/>
                <w:highlight w:val="none"/>
                <w14:textFill>
                  <w14:solidFill>
                    <w14:schemeClr w14:val="tx1"/>
                  </w14:solidFill>
                </w14:textFill>
              </w:rPr>
              <w:t>J 80</w:t>
            </w:r>
          </w:p>
        </w:tc>
      </w:tr>
    </w:tbl>
    <w:p w14:paraId="46CBB49F">
      <w:pPr>
        <w:pStyle w:val="153"/>
        <w:framePr w:w="9804" w:wrap="around" w:vAnchor="page" w:hAnchor="page" w:x="1209" w:y="1648"/>
        <w:jc w:val="center"/>
        <w:rPr>
          <w:rFonts w:ascii="Times New Roman" w:hAnsi="Times New Roman"/>
          <w:color w:val="000000" w:themeColor="text1"/>
          <w:sz w:val="84"/>
          <w:szCs w:val="84"/>
          <w14:textFill>
            <w14:solidFill>
              <w14:schemeClr w14:val="tx1"/>
            </w14:solidFill>
          </w14:textFill>
        </w:rPr>
      </w:pPr>
      <w:r>
        <w:rPr>
          <w:rFonts w:hint="eastAsia" w:ascii="Times New Roman" w:hAnsi="Times New Roman"/>
          <w:color w:val="000000" w:themeColor="text1"/>
          <w:sz w:val="84"/>
          <w:szCs w:val="84"/>
          <w14:textFill>
            <w14:solidFill>
              <w14:schemeClr w14:val="tx1"/>
            </w14:solidFill>
          </w14:textFill>
        </w:rPr>
        <w:t>团     体    标    准</w:t>
      </w:r>
    </w:p>
    <w:p w14:paraId="6F4B657F">
      <w:pPr>
        <w:tabs>
          <w:tab w:val="left" w:pos="3514"/>
        </w:tabs>
        <w:rPr>
          <w:rFonts w:hint="eastAsia" w:ascii="黑体" w:hAnsi="黑体" w:eastAsia="黑体"/>
          <w:sz w:val="72"/>
          <w:szCs w:val="72"/>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283" w:footer="1134" w:gutter="284"/>
          <w:cols w:space="425" w:num="1"/>
          <w:titlePg/>
          <w:docGrid w:linePitch="312" w:charSpace="0"/>
        </w:sectPr>
      </w:pPr>
    </w:p>
    <w:p w14:paraId="0B6A0088">
      <w:pPr>
        <w:pStyle w:val="94"/>
        <w:spacing w:after="360"/>
        <w:rPr>
          <w:rFonts w:hint="eastAsia"/>
        </w:rPr>
      </w:pPr>
      <w:bookmarkStart w:id="12" w:name="BookMark1"/>
      <w:bookmarkStart w:id="13" w:name="_Toc226629897"/>
      <w:bookmarkStart w:id="14" w:name="_Toc226629916"/>
      <w:bookmarkStart w:id="15" w:name="_Toc227615877"/>
      <w:bookmarkStart w:id="16" w:name="_Toc225181447"/>
      <w:bookmarkStart w:id="17" w:name="_Toc201520343"/>
      <w:bookmarkStart w:id="18" w:name="_Toc225181565"/>
      <w:bookmarkStart w:id="19" w:name="_Toc25351"/>
      <w:r>
        <w:rPr>
          <w:rFonts w:hint="eastAsia"/>
          <w:spacing w:val="320"/>
        </w:rPr>
        <w:t>目</w:t>
      </w:r>
      <w:r>
        <w:rPr>
          <w:rFonts w:hint="eastAsia"/>
        </w:rPr>
        <w:t>次</w:t>
      </w:r>
    </w:p>
    <w:p w14:paraId="75AC4E1F">
      <w:pPr>
        <w:pStyle w:val="20"/>
        <w:tabs>
          <w:tab w:val="right" w:leader="dot" w:pos="9354"/>
        </w:tabs>
      </w:pPr>
      <w:r>
        <w:fldChar w:fldCharType="begin"/>
      </w:r>
      <w:r>
        <w:instrText xml:space="preserve"> TOC \o "1-1" \h </w:instrText>
      </w:r>
      <w:r>
        <w:fldChar w:fldCharType="separate"/>
      </w:r>
      <w:r>
        <w:fldChar w:fldCharType="begin"/>
      </w:r>
      <w:r>
        <w:instrText xml:space="preserve"> HYPERLINK \l _Toc4539 </w:instrText>
      </w:r>
      <w:r>
        <w:fldChar w:fldCharType="separate"/>
      </w:r>
      <w:r>
        <w:rPr>
          <w:rFonts w:hint="eastAsia"/>
          <w:lang w:eastAsia="zh-CN"/>
        </w:rPr>
        <w:t>前言</w:t>
      </w:r>
      <w:r>
        <w:tab/>
      </w:r>
      <w:r>
        <w:fldChar w:fldCharType="begin"/>
      </w:r>
      <w:r>
        <w:instrText xml:space="preserve"> PAGEREF _Toc4539 \h </w:instrText>
      </w:r>
      <w:r>
        <w:fldChar w:fldCharType="separate"/>
      </w:r>
      <w:r>
        <w:t>II</w:t>
      </w:r>
      <w:r>
        <w:fldChar w:fldCharType="end"/>
      </w:r>
      <w:r>
        <w:fldChar w:fldCharType="end"/>
      </w:r>
    </w:p>
    <w:p w14:paraId="17B587AB">
      <w:pPr>
        <w:pStyle w:val="20"/>
        <w:tabs>
          <w:tab w:val="right" w:leader="dot" w:pos="9354"/>
        </w:tabs>
      </w:pPr>
      <w:r>
        <w:rPr>
          <w:rFonts w:hint="eastAsia"/>
          <w:lang w:eastAsia="zh-CN"/>
        </w:rPr>
        <w:t>引言</w:t>
      </w:r>
      <w:r>
        <w:fldChar w:fldCharType="begin"/>
      </w:r>
      <w:r>
        <w:instrText xml:space="preserve"> HYPERLINK \l _Toc26934 </w:instrText>
      </w:r>
      <w:r>
        <w:fldChar w:fldCharType="separate"/>
      </w:r>
      <w:r>
        <w:tab/>
      </w:r>
      <w:r>
        <w:fldChar w:fldCharType="begin"/>
      </w:r>
      <w:r>
        <w:instrText xml:space="preserve"> PAGEREF _Toc26934 \h </w:instrText>
      </w:r>
      <w:r>
        <w:fldChar w:fldCharType="separate"/>
      </w:r>
      <w:r>
        <w:t>III</w:t>
      </w:r>
      <w:r>
        <w:fldChar w:fldCharType="end"/>
      </w:r>
      <w:r>
        <w:fldChar w:fldCharType="end"/>
      </w:r>
    </w:p>
    <w:p w14:paraId="0974A579">
      <w:pPr>
        <w:pStyle w:val="20"/>
        <w:tabs>
          <w:tab w:val="right" w:leader="dot" w:pos="9354"/>
        </w:tabs>
      </w:pPr>
      <w:r>
        <w:fldChar w:fldCharType="begin"/>
      </w:r>
      <w:r>
        <w:instrText xml:space="preserve"> HYPERLINK \l _Toc24868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_Toc24868 \h </w:instrText>
      </w:r>
      <w:r>
        <w:fldChar w:fldCharType="separate"/>
      </w:r>
      <w:r>
        <w:t>1</w:t>
      </w:r>
      <w:r>
        <w:fldChar w:fldCharType="end"/>
      </w:r>
      <w:r>
        <w:fldChar w:fldCharType="end"/>
      </w:r>
    </w:p>
    <w:p w14:paraId="1C9B1A0D">
      <w:pPr>
        <w:pStyle w:val="20"/>
        <w:tabs>
          <w:tab w:val="right" w:leader="dot" w:pos="9354"/>
        </w:tabs>
      </w:pPr>
      <w:r>
        <w:fldChar w:fldCharType="begin"/>
      </w:r>
      <w:r>
        <w:instrText xml:space="preserve"> HYPERLINK \l _Toc17581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_Toc17581 \h </w:instrText>
      </w:r>
      <w:r>
        <w:fldChar w:fldCharType="separate"/>
      </w:r>
      <w:r>
        <w:t>1</w:t>
      </w:r>
      <w:r>
        <w:fldChar w:fldCharType="end"/>
      </w:r>
      <w:r>
        <w:fldChar w:fldCharType="end"/>
      </w:r>
    </w:p>
    <w:p w14:paraId="322F1FB0">
      <w:pPr>
        <w:pStyle w:val="20"/>
        <w:tabs>
          <w:tab w:val="right" w:leader="dot" w:pos="9354"/>
        </w:tabs>
      </w:pPr>
      <w:r>
        <w:fldChar w:fldCharType="begin"/>
      </w:r>
      <w:r>
        <w:instrText xml:space="preserve"> HYPERLINK \l _Toc9415 </w:instrText>
      </w:r>
      <w: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_Toc9415 \h </w:instrText>
      </w:r>
      <w:r>
        <w:fldChar w:fldCharType="separate"/>
      </w:r>
      <w:r>
        <w:t>1</w:t>
      </w:r>
      <w:r>
        <w:fldChar w:fldCharType="end"/>
      </w:r>
      <w:r>
        <w:fldChar w:fldCharType="end"/>
      </w:r>
    </w:p>
    <w:p w14:paraId="2F033582">
      <w:pPr>
        <w:pStyle w:val="20"/>
        <w:tabs>
          <w:tab w:val="right" w:leader="dot" w:pos="9354"/>
        </w:tabs>
      </w:pPr>
      <w:r>
        <w:fldChar w:fldCharType="begin"/>
      </w:r>
      <w:r>
        <w:instrText xml:space="preserve"> HYPERLINK \l _Toc24137 </w:instrText>
      </w:r>
      <w:r>
        <w:fldChar w:fldCharType="separate"/>
      </w:r>
      <w:r>
        <w:rPr>
          <w:rFonts w:hint="eastAsia" w:ascii="黑体" w:eastAsia="黑体"/>
          <w:i w:val="0"/>
        </w:rPr>
        <w:t xml:space="preserve">4 </w:t>
      </w:r>
      <w:r>
        <w:rPr>
          <w:rFonts w:hint="eastAsia"/>
        </w:rPr>
        <w:t>报废条件</w:t>
      </w:r>
      <w:r>
        <w:tab/>
      </w:r>
      <w:r>
        <w:fldChar w:fldCharType="begin"/>
      </w:r>
      <w:r>
        <w:instrText xml:space="preserve"> PAGEREF _Toc24137 \h </w:instrText>
      </w:r>
      <w:r>
        <w:fldChar w:fldCharType="separate"/>
      </w:r>
      <w:r>
        <w:t>1</w:t>
      </w:r>
      <w:r>
        <w:fldChar w:fldCharType="end"/>
      </w:r>
      <w:r>
        <w:fldChar w:fldCharType="end"/>
      </w:r>
    </w:p>
    <w:p w14:paraId="36A9FCDE">
      <w:pPr>
        <w:pStyle w:val="20"/>
        <w:tabs>
          <w:tab w:val="right" w:leader="dot" w:pos="9354"/>
        </w:tabs>
      </w:pPr>
      <w:r>
        <w:fldChar w:fldCharType="begin"/>
      </w:r>
      <w:r>
        <w:instrText xml:space="preserve"> HYPERLINK \l _Toc30343 </w:instrText>
      </w:r>
      <w:r>
        <w:fldChar w:fldCharType="separate"/>
      </w:r>
      <w:r>
        <w:rPr>
          <w:rFonts w:hint="eastAsia" w:ascii="黑体" w:eastAsia="黑体"/>
          <w:i w:val="0"/>
        </w:rPr>
        <w:t xml:space="preserve">5 </w:t>
      </w:r>
      <w:r>
        <w:rPr>
          <w:rFonts w:hint="eastAsia"/>
        </w:rPr>
        <w:t>记录</w:t>
      </w:r>
      <w:r>
        <w:tab/>
      </w:r>
      <w:r>
        <w:fldChar w:fldCharType="begin"/>
      </w:r>
      <w:r>
        <w:instrText xml:space="preserve"> PAGEREF _Toc30343 \h </w:instrText>
      </w:r>
      <w:r>
        <w:fldChar w:fldCharType="separate"/>
      </w:r>
      <w:r>
        <w:t>4</w:t>
      </w:r>
      <w:r>
        <w:fldChar w:fldCharType="end"/>
      </w:r>
      <w:r>
        <w:fldChar w:fldCharType="end"/>
      </w:r>
    </w:p>
    <w:p w14:paraId="153BF044">
      <w:pPr>
        <w:pStyle w:val="94"/>
        <w:spacing w:after="360"/>
        <w:sectPr>
          <w:headerReference r:id="rId11" w:type="default"/>
          <w:footerReference r:id="rId12" w:type="default"/>
          <w:pgSz w:w="11906" w:h="16838"/>
          <w:pgMar w:top="1928" w:right="1134" w:bottom="1134" w:left="1134" w:header="1418" w:footer="1134" w:gutter="284"/>
          <w:pgNumType w:fmt="upperRoman" w:start="1"/>
          <w:cols w:space="425" w:num="1"/>
          <w:formProt w:val="0"/>
          <w:docGrid w:linePitch="312" w:charSpace="0"/>
        </w:sectPr>
      </w:pPr>
      <w:r>
        <w:fldChar w:fldCharType="end"/>
      </w:r>
    </w:p>
    <w:bookmarkEnd w:id="12"/>
    <w:p w14:paraId="1970BF7F">
      <w:pPr>
        <w:pStyle w:val="92"/>
        <w:spacing w:before="560" w:after="360"/>
      </w:pPr>
      <w:bookmarkStart w:id="20" w:name="_Toc4539"/>
      <w:bookmarkStart w:id="21" w:name="_Toc227615906"/>
      <w:bookmarkStart w:id="22" w:name="BookMark2"/>
      <w:r>
        <w:rPr>
          <w:rFonts w:hint="eastAsia"/>
          <w:spacing w:val="320"/>
        </w:rPr>
        <w:t>前</w:t>
      </w:r>
      <w:r>
        <w:rPr>
          <w:rFonts w:hint="eastAsia"/>
        </w:rPr>
        <w:t>言</w:t>
      </w:r>
      <w:bookmarkEnd w:id="13"/>
      <w:bookmarkEnd w:id="14"/>
      <w:bookmarkEnd w:id="15"/>
      <w:bookmarkEnd w:id="20"/>
      <w:bookmarkEnd w:id="21"/>
    </w:p>
    <w:p w14:paraId="156F1D0B">
      <w:pPr>
        <w:pStyle w:val="59"/>
        <w:ind w:firstLine="420"/>
      </w:pPr>
      <w:r>
        <w:rPr>
          <w:rFonts w:hint="eastAsia"/>
        </w:rPr>
        <w:t>本文件按照GB/T 1.1—2020《标准化工作导则  第1部分：标准化文件的结构和起草规则》的规定起草。</w:t>
      </w:r>
    </w:p>
    <w:p w14:paraId="62B9E16C">
      <w:pPr>
        <w:pStyle w:val="59"/>
        <w:ind w:firstLine="420"/>
      </w:pPr>
    </w:p>
    <w:p w14:paraId="1009CF71">
      <w:pPr>
        <w:pStyle w:val="59"/>
        <w:ind w:firstLine="420"/>
      </w:pPr>
      <w:r>
        <w:rPr>
          <w:rFonts w:hint="eastAsia"/>
        </w:rPr>
        <w:t>请注意本文件的某些内容可能涉及专利。本文件的发布机构不承担识别专利的责任。</w:t>
      </w:r>
    </w:p>
    <w:p w14:paraId="6367E868">
      <w:pPr>
        <w:pStyle w:val="59"/>
        <w:ind w:firstLine="420"/>
      </w:pPr>
      <w:r>
        <w:rPr>
          <w:rFonts w:hint="eastAsia"/>
        </w:rPr>
        <w:t>本文件由中国工程机械工业协会提出并归口。</w:t>
      </w:r>
    </w:p>
    <w:p w14:paraId="244BCD20">
      <w:pPr>
        <w:pStyle w:val="59"/>
        <w:ind w:firstLine="420"/>
      </w:pPr>
      <w:r>
        <w:rPr>
          <w:rFonts w:hint="eastAsia"/>
        </w:rPr>
        <w:t>本文件由中国工程机械工业协会和装修与高空作业机械分会组织制定。</w:t>
      </w:r>
    </w:p>
    <w:p w14:paraId="0B091B52">
      <w:pPr>
        <w:pStyle w:val="59"/>
        <w:ind w:firstLine="420"/>
      </w:pPr>
      <w:r>
        <w:rPr>
          <w:rFonts w:hint="eastAsia"/>
        </w:rPr>
        <w:t>本文件起草单位：********</w:t>
      </w:r>
    </w:p>
    <w:p w14:paraId="7769D255">
      <w:pPr>
        <w:pStyle w:val="59"/>
        <w:ind w:firstLine="420"/>
      </w:pPr>
      <w:r>
        <w:rPr>
          <w:rFonts w:hint="eastAsia"/>
        </w:rPr>
        <w:t>本文件主要起草人：***********</w:t>
      </w:r>
    </w:p>
    <w:p w14:paraId="223869DC">
      <w:pPr>
        <w:pStyle w:val="59"/>
        <w:ind w:firstLine="420"/>
      </w:pPr>
    </w:p>
    <w:p w14:paraId="04465ADF">
      <w:pPr>
        <w:pStyle w:val="59"/>
        <w:ind w:firstLine="420"/>
        <w:rPr>
          <w:rFonts w:hint="eastAsia"/>
          <w:lang w:val="en-US" w:eastAsia="zh-CN"/>
        </w:rPr>
      </w:pPr>
    </w:p>
    <w:p w14:paraId="308E60A3">
      <w:pPr>
        <w:pStyle w:val="59"/>
        <w:ind w:firstLine="420"/>
        <w:rPr>
          <w:rFonts w:hint="eastAsia"/>
          <w:lang w:val="en-US" w:eastAsia="zh-CN"/>
        </w:rPr>
      </w:pPr>
    </w:p>
    <w:p w14:paraId="37671481">
      <w:pPr>
        <w:pStyle w:val="59"/>
        <w:ind w:firstLine="420"/>
        <w:rPr>
          <w:rFonts w:hint="eastAsia"/>
          <w:lang w:val="en-US" w:eastAsia="zh-CN"/>
        </w:rPr>
      </w:pPr>
    </w:p>
    <w:p w14:paraId="598FF687">
      <w:pPr>
        <w:pStyle w:val="59"/>
        <w:ind w:firstLine="420"/>
        <w:rPr>
          <w:rFonts w:hint="eastAsia"/>
          <w:lang w:val="en-US" w:eastAsia="zh-CN"/>
        </w:rPr>
      </w:pPr>
    </w:p>
    <w:p w14:paraId="4BECDD50">
      <w:pPr>
        <w:pStyle w:val="59"/>
        <w:ind w:firstLine="420"/>
        <w:rPr>
          <w:rFonts w:hint="eastAsia"/>
          <w:lang w:val="en-US" w:eastAsia="zh-CN"/>
        </w:rPr>
      </w:pPr>
    </w:p>
    <w:p w14:paraId="07F52851">
      <w:pPr>
        <w:pStyle w:val="59"/>
        <w:ind w:firstLine="420"/>
        <w:rPr>
          <w:rFonts w:hint="eastAsia"/>
          <w:lang w:val="en-US" w:eastAsia="zh-CN"/>
        </w:rPr>
      </w:pPr>
    </w:p>
    <w:p w14:paraId="647CE1F0">
      <w:pPr>
        <w:pStyle w:val="59"/>
        <w:ind w:firstLine="420"/>
        <w:rPr>
          <w:rFonts w:hint="eastAsia"/>
          <w:lang w:val="en-US" w:eastAsia="zh-CN"/>
        </w:rPr>
      </w:pPr>
    </w:p>
    <w:p w14:paraId="40024D14">
      <w:pPr>
        <w:pStyle w:val="59"/>
        <w:ind w:firstLine="420"/>
        <w:rPr>
          <w:rFonts w:hint="eastAsia"/>
          <w:lang w:val="en-US" w:eastAsia="zh-CN"/>
        </w:rPr>
      </w:pPr>
    </w:p>
    <w:p w14:paraId="52FFB1DE">
      <w:pPr>
        <w:pStyle w:val="59"/>
        <w:ind w:firstLine="420"/>
        <w:rPr>
          <w:rFonts w:hint="eastAsia"/>
          <w:lang w:val="en-US" w:eastAsia="zh-CN"/>
        </w:rPr>
      </w:pPr>
    </w:p>
    <w:p w14:paraId="4941755A">
      <w:pPr>
        <w:pStyle w:val="59"/>
        <w:ind w:firstLine="420"/>
        <w:rPr>
          <w:rFonts w:hint="eastAsia"/>
          <w:lang w:val="en-US" w:eastAsia="zh-CN"/>
        </w:rPr>
      </w:pPr>
    </w:p>
    <w:p w14:paraId="0A3DBE9C">
      <w:pPr>
        <w:pStyle w:val="59"/>
        <w:ind w:firstLine="420"/>
        <w:rPr>
          <w:rFonts w:hint="eastAsia"/>
          <w:lang w:val="en-US" w:eastAsia="zh-CN"/>
        </w:rPr>
      </w:pPr>
    </w:p>
    <w:p w14:paraId="42DB9A72">
      <w:pPr>
        <w:pStyle w:val="59"/>
        <w:ind w:firstLine="420"/>
        <w:rPr>
          <w:rFonts w:hint="eastAsia"/>
          <w:lang w:val="en-US" w:eastAsia="zh-CN"/>
        </w:rPr>
      </w:pPr>
    </w:p>
    <w:p w14:paraId="0998C0CE">
      <w:pPr>
        <w:pStyle w:val="59"/>
        <w:ind w:firstLine="420"/>
        <w:rPr>
          <w:rFonts w:hint="eastAsia"/>
          <w:lang w:val="en-US" w:eastAsia="zh-CN"/>
        </w:rPr>
      </w:pPr>
    </w:p>
    <w:p w14:paraId="5A2AC755">
      <w:pPr>
        <w:pStyle w:val="59"/>
        <w:ind w:firstLine="420"/>
        <w:rPr>
          <w:rFonts w:hint="eastAsia"/>
          <w:lang w:val="en-US" w:eastAsia="zh-CN"/>
        </w:rPr>
      </w:pPr>
    </w:p>
    <w:p w14:paraId="033F2036">
      <w:pPr>
        <w:pStyle w:val="59"/>
        <w:ind w:firstLine="420"/>
        <w:rPr>
          <w:rFonts w:hint="eastAsia"/>
          <w:lang w:val="en-US" w:eastAsia="zh-CN"/>
        </w:rPr>
      </w:pPr>
    </w:p>
    <w:p w14:paraId="19AA0636">
      <w:pPr>
        <w:pStyle w:val="59"/>
        <w:ind w:firstLine="420"/>
        <w:rPr>
          <w:rFonts w:hint="eastAsia"/>
          <w:lang w:val="en-US" w:eastAsia="zh-CN"/>
        </w:rPr>
      </w:pPr>
    </w:p>
    <w:p w14:paraId="0E09C52A">
      <w:pPr>
        <w:pStyle w:val="59"/>
        <w:ind w:firstLine="420"/>
        <w:rPr>
          <w:rFonts w:hint="eastAsia"/>
          <w:lang w:val="en-US" w:eastAsia="zh-CN"/>
        </w:rPr>
      </w:pPr>
    </w:p>
    <w:p w14:paraId="4C416728">
      <w:pPr>
        <w:pStyle w:val="59"/>
        <w:ind w:firstLine="420"/>
        <w:rPr>
          <w:rFonts w:hint="eastAsia"/>
          <w:lang w:val="en-US" w:eastAsia="zh-CN"/>
        </w:rPr>
      </w:pPr>
    </w:p>
    <w:p w14:paraId="35AD9D22">
      <w:pPr>
        <w:pStyle w:val="59"/>
        <w:ind w:firstLine="420"/>
        <w:rPr>
          <w:rFonts w:hint="eastAsia"/>
          <w:lang w:val="en-US" w:eastAsia="zh-CN"/>
        </w:rPr>
      </w:pPr>
    </w:p>
    <w:p w14:paraId="48CFC269">
      <w:pPr>
        <w:pStyle w:val="59"/>
        <w:ind w:firstLine="420"/>
        <w:rPr>
          <w:rFonts w:hint="eastAsia"/>
          <w:lang w:val="en-US" w:eastAsia="zh-CN"/>
        </w:rPr>
      </w:pPr>
    </w:p>
    <w:p w14:paraId="4DCE422E">
      <w:pPr>
        <w:pStyle w:val="59"/>
        <w:ind w:firstLine="420"/>
        <w:rPr>
          <w:rFonts w:hint="eastAsia"/>
          <w:lang w:val="en-US" w:eastAsia="zh-CN"/>
        </w:rPr>
      </w:pPr>
    </w:p>
    <w:p w14:paraId="027BE135">
      <w:pPr>
        <w:pStyle w:val="59"/>
        <w:ind w:firstLine="420"/>
        <w:rPr>
          <w:rFonts w:hint="eastAsia"/>
          <w:lang w:val="en-US" w:eastAsia="zh-CN"/>
        </w:rPr>
      </w:pPr>
    </w:p>
    <w:p w14:paraId="6B95B102">
      <w:pPr>
        <w:pStyle w:val="59"/>
        <w:ind w:firstLine="420"/>
        <w:rPr>
          <w:rFonts w:hint="eastAsia"/>
          <w:lang w:val="en-US" w:eastAsia="zh-CN"/>
        </w:rPr>
      </w:pPr>
    </w:p>
    <w:p w14:paraId="1B8C3A38">
      <w:pPr>
        <w:pStyle w:val="59"/>
        <w:ind w:firstLine="420"/>
        <w:rPr>
          <w:rFonts w:hint="eastAsia"/>
          <w:lang w:val="en-US" w:eastAsia="zh-CN"/>
        </w:rPr>
      </w:pPr>
    </w:p>
    <w:p w14:paraId="07747420">
      <w:pPr>
        <w:pStyle w:val="59"/>
        <w:ind w:firstLine="420"/>
        <w:rPr>
          <w:rFonts w:hint="eastAsia"/>
          <w:lang w:val="en-US" w:eastAsia="zh-CN"/>
        </w:rPr>
      </w:pPr>
    </w:p>
    <w:p w14:paraId="6111A59D">
      <w:pPr>
        <w:pStyle w:val="59"/>
        <w:ind w:firstLine="420"/>
        <w:rPr>
          <w:rFonts w:hint="eastAsia"/>
          <w:lang w:val="en-US" w:eastAsia="zh-CN"/>
        </w:rPr>
      </w:pPr>
    </w:p>
    <w:p w14:paraId="04004A22">
      <w:pPr>
        <w:pStyle w:val="59"/>
        <w:ind w:firstLine="420"/>
        <w:rPr>
          <w:rFonts w:hint="eastAsia"/>
          <w:lang w:val="en-US" w:eastAsia="zh-CN"/>
        </w:rPr>
      </w:pPr>
    </w:p>
    <w:p w14:paraId="041E10C0">
      <w:pPr>
        <w:pStyle w:val="59"/>
        <w:ind w:firstLine="420"/>
        <w:rPr>
          <w:rFonts w:hint="eastAsia"/>
          <w:lang w:val="en-US" w:eastAsia="zh-CN"/>
        </w:rPr>
      </w:pPr>
    </w:p>
    <w:p w14:paraId="6F866D50">
      <w:pPr>
        <w:pStyle w:val="59"/>
        <w:ind w:firstLine="420"/>
        <w:rPr>
          <w:rFonts w:hint="eastAsia"/>
          <w:lang w:val="en-US" w:eastAsia="zh-CN"/>
        </w:rPr>
      </w:pPr>
    </w:p>
    <w:p w14:paraId="71FE1AB6">
      <w:pPr>
        <w:pStyle w:val="59"/>
        <w:ind w:firstLine="420"/>
        <w:rPr>
          <w:rFonts w:hint="eastAsia"/>
          <w:lang w:val="en-US" w:eastAsia="zh-CN"/>
        </w:rPr>
      </w:pPr>
    </w:p>
    <w:p w14:paraId="677157DB">
      <w:pPr>
        <w:pStyle w:val="59"/>
        <w:ind w:firstLine="420"/>
        <w:rPr>
          <w:rFonts w:hint="eastAsia"/>
          <w:lang w:val="en-US" w:eastAsia="zh-CN"/>
        </w:rPr>
      </w:pPr>
    </w:p>
    <w:p w14:paraId="10451335">
      <w:pPr>
        <w:pStyle w:val="59"/>
        <w:ind w:firstLine="420"/>
        <w:rPr>
          <w:rFonts w:hint="eastAsia"/>
          <w:lang w:val="en-US" w:eastAsia="zh-CN"/>
        </w:rPr>
      </w:pPr>
    </w:p>
    <w:p w14:paraId="5D38424A">
      <w:pPr>
        <w:pStyle w:val="59"/>
        <w:ind w:firstLine="420"/>
        <w:rPr>
          <w:rFonts w:hint="eastAsia"/>
          <w:lang w:val="en-US" w:eastAsia="zh-CN"/>
        </w:rPr>
      </w:pPr>
    </w:p>
    <w:p w14:paraId="0FA6E475">
      <w:pPr>
        <w:pStyle w:val="59"/>
        <w:ind w:firstLine="420"/>
        <w:rPr>
          <w:rFonts w:hint="eastAsia"/>
          <w:lang w:val="en-US" w:eastAsia="zh-CN"/>
        </w:rPr>
      </w:pPr>
    </w:p>
    <w:p w14:paraId="0C3DE8B3">
      <w:pPr>
        <w:pStyle w:val="59"/>
        <w:ind w:firstLine="420"/>
        <w:rPr>
          <w:rFonts w:hint="eastAsia"/>
          <w:lang w:val="en-US" w:eastAsia="zh-CN"/>
        </w:rPr>
      </w:pPr>
    </w:p>
    <w:p w14:paraId="6CDD3BEB">
      <w:pPr>
        <w:pStyle w:val="59"/>
        <w:ind w:firstLine="420"/>
        <w:rPr>
          <w:rFonts w:hint="eastAsia"/>
          <w:lang w:val="en-US" w:eastAsia="zh-CN"/>
        </w:rPr>
      </w:pPr>
    </w:p>
    <w:p w14:paraId="02D33CA3">
      <w:pPr>
        <w:pStyle w:val="59"/>
        <w:ind w:firstLine="420"/>
        <w:rPr>
          <w:rFonts w:hint="eastAsia"/>
          <w:lang w:val="en-US" w:eastAsia="zh-CN"/>
        </w:rPr>
      </w:pPr>
    </w:p>
    <w:p w14:paraId="6E3A6C8A">
      <w:pPr>
        <w:pStyle w:val="59"/>
        <w:ind w:firstLine="420"/>
        <w:rPr>
          <w:rFonts w:hint="eastAsia"/>
          <w:lang w:val="en-US" w:eastAsia="zh-CN"/>
        </w:rPr>
      </w:pPr>
    </w:p>
    <w:p w14:paraId="3D565E17">
      <w:pPr>
        <w:pStyle w:val="92"/>
        <w:shd w:val="clear" w:color="FFFFFF" w:fill="FFFFFF"/>
        <w:spacing w:before="560" w:after="360"/>
        <w:rPr>
          <w:rFonts w:hint="eastAsia"/>
          <w:spacing w:val="320"/>
          <w:lang w:val="en-US" w:eastAsia="zh-CN"/>
        </w:rPr>
      </w:pPr>
      <w:bookmarkStart w:id="23" w:name="_Toc26934"/>
      <w:r>
        <w:rPr>
          <w:rFonts w:hint="eastAsia"/>
          <w:spacing w:val="320"/>
          <w:lang w:val="en-US" w:eastAsia="zh-CN"/>
        </w:rPr>
        <w:t>引言</w:t>
      </w:r>
      <w:bookmarkEnd w:id="23"/>
    </w:p>
    <w:p w14:paraId="0C614F2E">
      <w:pPr>
        <w:pStyle w:val="59"/>
        <w:ind w:firstLine="420"/>
        <w:jc w:val="center"/>
        <w:rPr>
          <w:rFonts w:hint="eastAsia"/>
          <w:lang w:val="en-US" w:eastAsia="zh-CN"/>
        </w:rPr>
      </w:pPr>
    </w:p>
    <w:p w14:paraId="47D99409">
      <w:pPr>
        <w:widowControl/>
        <w:kinsoku/>
        <w:overflowPunct w:val="0"/>
        <w:spacing w:line="276" w:lineRule="auto"/>
        <w:ind w:firstLine="420"/>
        <w:jc w:val="left"/>
        <w:textAlignment w:val="baseline"/>
        <w:rPr>
          <w:rFonts w:ascii="宋体" w:hAnsi="宋体"/>
          <w:kern w:val="0"/>
        </w:rPr>
      </w:pPr>
      <w:bookmarkStart w:id="24" w:name="OLE_LINK2"/>
      <w:r>
        <w:rPr>
          <w:rFonts w:hint="eastAsia" w:ascii="宋体" w:hAnsi="宋体"/>
          <w:lang w:val="en-US" w:eastAsia="zh-CN"/>
        </w:rPr>
        <w:t>擦窗机</w:t>
      </w:r>
      <w:r>
        <w:rPr>
          <w:rFonts w:hint="eastAsia" w:ascii="宋体" w:hAnsi="宋体"/>
        </w:rPr>
        <w:t>在建筑</w:t>
      </w:r>
      <w:r>
        <w:rPr>
          <w:rFonts w:hint="eastAsia" w:ascii="宋体" w:hAnsi="宋体"/>
          <w:lang w:val="en-US" w:eastAsia="zh-CN"/>
        </w:rPr>
        <w:t>外墙维护</w:t>
      </w:r>
      <w:r>
        <w:rPr>
          <w:rFonts w:hint="eastAsia" w:ascii="宋体" w:hAnsi="宋体"/>
        </w:rPr>
        <w:t>中</w:t>
      </w:r>
      <w:r>
        <w:rPr>
          <w:rFonts w:hint="eastAsia" w:ascii="宋体" w:hAnsi="宋体"/>
          <w:lang w:eastAsia="zh-CN"/>
        </w:rPr>
        <w:t>已</w:t>
      </w:r>
      <w:r>
        <w:rPr>
          <w:rFonts w:hint="eastAsia" w:ascii="宋体" w:hAnsi="宋体"/>
        </w:rPr>
        <w:t>得到广泛的应用，</w:t>
      </w:r>
      <w:r>
        <w:rPr>
          <w:rFonts w:hint="eastAsia" w:ascii="宋体" w:hAnsi="宋体"/>
          <w:lang w:eastAsia="zh-CN"/>
        </w:rPr>
        <w:t>且保有量</w:t>
      </w:r>
      <w:r>
        <w:rPr>
          <w:rFonts w:hint="eastAsia" w:ascii="宋体" w:hAnsi="宋体"/>
          <w:lang w:val="en-US" w:eastAsia="zh-CN"/>
        </w:rPr>
        <w:t>已达到一定规模</w:t>
      </w:r>
      <w:r>
        <w:rPr>
          <w:rFonts w:hint="eastAsia" w:ascii="宋体" w:hAnsi="宋体"/>
        </w:rPr>
        <w:t>。</w:t>
      </w:r>
      <w:r>
        <w:rPr>
          <w:rFonts w:hint="eastAsia" w:ascii="宋体" w:hAnsi="宋体"/>
          <w:kern w:val="0"/>
          <w:lang w:val="en-US" w:eastAsia="zh-CN"/>
        </w:rPr>
        <w:t>由于擦窗机涉及机械、电气、安全等多领域专业知识</w:t>
      </w:r>
      <w:r>
        <w:rPr>
          <w:rFonts w:hint="eastAsia" w:ascii="宋体" w:hAnsi="宋体"/>
          <w:kern w:val="0"/>
        </w:rPr>
        <w:t>，部分</w:t>
      </w:r>
      <w:r>
        <w:rPr>
          <w:rFonts w:hint="eastAsia" w:ascii="宋体" w:hAnsi="宋体"/>
          <w:kern w:val="0"/>
          <w:lang w:val="en-US" w:eastAsia="zh-CN"/>
        </w:rPr>
        <w:t>擦窗机</w:t>
      </w:r>
      <w:r>
        <w:rPr>
          <w:rFonts w:hint="eastAsia" w:ascii="宋体" w:hAnsi="宋体"/>
          <w:kern w:val="0"/>
        </w:rPr>
        <w:t>维保从业者</w:t>
      </w:r>
      <w:r>
        <w:rPr>
          <w:rFonts w:hint="eastAsia" w:ascii="宋体" w:hAnsi="宋体"/>
        </w:rPr>
        <w:t>在实际维护</w:t>
      </w:r>
      <w:r>
        <w:rPr>
          <w:rFonts w:ascii="宋体" w:hAnsi="宋体"/>
        </w:rPr>
        <w:t>、</w:t>
      </w:r>
      <w:r>
        <w:rPr>
          <w:rFonts w:hint="eastAsia" w:ascii="宋体" w:hAnsi="宋体"/>
        </w:rPr>
        <w:t>修理过程中</w:t>
      </w:r>
      <w:r>
        <w:rPr>
          <w:rFonts w:hint="eastAsia" w:ascii="宋体" w:hAnsi="宋体"/>
          <w:kern w:val="0"/>
        </w:rPr>
        <w:t>难以准确判断已磨损或损坏的</w:t>
      </w:r>
      <w:r>
        <w:rPr>
          <w:rFonts w:hint="eastAsia" w:ascii="宋体" w:hAnsi="宋体"/>
          <w:kern w:val="0"/>
          <w:lang w:val="en-US" w:eastAsia="zh-CN"/>
        </w:rPr>
        <w:t>擦窗机</w:t>
      </w:r>
      <w:r>
        <w:rPr>
          <w:rFonts w:hint="eastAsia" w:ascii="宋体" w:hAnsi="宋体"/>
          <w:kern w:val="0"/>
        </w:rPr>
        <w:t>零部件的报废界限，致使部分</w:t>
      </w:r>
      <w:r>
        <w:rPr>
          <w:rFonts w:hint="eastAsia" w:ascii="宋体" w:hAnsi="宋体"/>
          <w:kern w:val="0"/>
          <w:lang w:val="en-US" w:eastAsia="zh-CN"/>
        </w:rPr>
        <w:t>擦窗机在</w:t>
      </w:r>
      <w:r>
        <w:rPr>
          <w:rFonts w:hint="eastAsia" w:ascii="宋体" w:hAnsi="宋体"/>
          <w:kern w:val="0"/>
        </w:rPr>
        <w:t>使用中存在安全隐患。</w:t>
      </w:r>
    </w:p>
    <w:bookmarkEnd w:id="24"/>
    <w:p w14:paraId="03563885">
      <w:pPr>
        <w:widowControl/>
        <w:kinsoku/>
        <w:overflowPunct w:val="0"/>
        <w:spacing w:line="276" w:lineRule="auto"/>
        <w:ind w:firstLine="420"/>
        <w:jc w:val="left"/>
        <w:textAlignment w:val="baseline"/>
        <w:rPr>
          <w:rFonts w:ascii="宋体" w:hAnsi="宋体" w:cs="宋体"/>
          <w:kern w:val="0"/>
        </w:rPr>
      </w:pPr>
      <w:r>
        <w:rPr>
          <w:rFonts w:hint="eastAsia" w:ascii="宋体" w:hAnsi="宋体"/>
        </w:rPr>
        <w:t>本文件的制定对</w:t>
      </w:r>
      <w:r>
        <w:rPr>
          <w:rFonts w:hint="eastAsia" w:ascii="宋体" w:hAnsi="宋体"/>
          <w:lang w:val="en-US" w:eastAsia="zh-CN"/>
        </w:rPr>
        <w:t>擦窗机</w:t>
      </w:r>
      <w:r>
        <w:rPr>
          <w:rFonts w:hint="eastAsia" w:ascii="宋体" w:hAnsi="宋体"/>
        </w:rPr>
        <w:t>主要零部件的报废列出了较为详细的</w:t>
      </w:r>
      <w:r>
        <w:rPr>
          <w:rFonts w:hint="eastAsia" w:ascii="宋体" w:hAnsi="宋体"/>
          <w:lang w:val="en-US" w:eastAsia="zh-CN"/>
        </w:rPr>
        <w:t>报废</w:t>
      </w:r>
      <w:r>
        <w:rPr>
          <w:rFonts w:hint="eastAsia" w:ascii="宋体" w:hAnsi="宋体"/>
        </w:rPr>
        <w:t>技术</w:t>
      </w:r>
      <w:r>
        <w:rPr>
          <w:rFonts w:hint="eastAsia" w:ascii="宋体" w:hAnsi="宋体"/>
          <w:lang w:val="en-US" w:eastAsia="zh-CN"/>
        </w:rPr>
        <w:t>条件</w:t>
      </w:r>
      <w:r>
        <w:rPr>
          <w:rFonts w:hint="eastAsia" w:ascii="宋体" w:hAnsi="宋体"/>
        </w:rPr>
        <w:t>，</w:t>
      </w:r>
      <w:r>
        <w:rPr>
          <w:rFonts w:hint="eastAsia" w:ascii="宋体" w:hAnsi="宋体"/>
          <w:kern w:val="0"/>
        </w:rPr>
        <w:t>为相关人员对吊篮主要零部件报废的判定提供依据，对提高</w:t>
      </w:r>
      <w:r>
        <w:rPr>
          <w:rFonts w:hint="eastAsia" w:ascii="宋体" w:hAnsi="宋体"/>
          <w:kern w:val="0"/>
          <w:lang w:val="en-US" w:eastAsia="zh-CN"/>
        </w:rPr>
        <w:t>擦窗机运行安全</w:t>
      </w:r>
      <w:r>
        <w:rPr>
          <w:rFonts w:hint="eastAsia" w:ascii="宋体" w:hAnsi="宋体"/>
          <w:kern w:val="0"/>
        </w:rPr>
        <w:t>有重要意义。</w:t>
      </w:r>
    </w:p>
    <w:p w14:paraId="1AEB08A5">
      <w:pPr>
        <w:pStyle w:val="238"/>
        <w:widowControl/>
        <w:kinsoku/>
        <w:overflowPunct w:val="0"/>
        <w:spacing w:line="276" w:lineRule="auto"/>
        <w:ind w:left="1"/>
        <w:jc w:val="left"/>
        <w:textAlignment w:val="baseline"/>
        <w:rPr>
          <w:rFonts w:ascii="宋体" w:hAnsi="宋体"/>
        </w:rPr>
      </w:pPr>
      <w:r>
        <w:rPr>
          <w:rFonts w:hint="eastAsia" w:ascii="宋体" w:hAnsi="宋体"/>
          <w:kern w:val="0"/>
        </w:rPr>
        <w:t>本文件的制定为GB/T 1915</w:t>
      </w:r>
      <w:r>
        <w:rPr>
          <w:rFonts w:hint="eastAsia" w:ascii="宋体" w:hAnsi="宋体"/>
          <w:kern w:val="0"/>
          <w:lang w:val="en-US" w:eastAsia="zh-CN"/>
        </w:rPr>
        <w:t>4</w:t>
      </w:r>
      <w:r>
        <w:rPr>
          <w:rFonts w:hint="eastAsia" w:ascii="宋体" w:hAnsi="宋体"/>
          <w:kern w:val="0"/>
        </w:rPr>
        <w:t>-2017《</w:t>
      </w:r>
      <w:r>
        <w:rPr>
          <w:rFonts w:hint="eastAsia" w:ascii="宋体" w:hAnsi="宋体"/>
          <w:kern w:val="0"/>
          <w:lang w:val="en-US" w:eastAsia="zh-CN"/>
        </w:rPr>
        <w:t>擦窗机</w:t>
      </w:r>
      <w:r>
        <w:rPr>
          <w:rFonts w:hint="eastAsia" w:ascii="宋体" w:hAnsi="宋体"/>
          <w:kern w:val="0"/>
        </w:rPr>
        <w:t>》的实施提供配套支撑，是GB/T 1915</w:t>
      </w:r>
      <w:r>
        <w:rPr>
          <w:rFonts w:hint="eastAsia" w:ascii="宋体" w:hAnsi="宋体"/>
          <w:kern w:val="0"/>
          <w:lang w:val="en-US" w:eastAsia="zh-CN"/>
        </w:rPr>
        <w:t>4</w:t>
      </w:r>
      <w:r>
        <w:rPr>
          <w:rFonts w:hint="eastAsia" w:ascii="宋体" w:hAnsi="宋体"/>
          <w:kern w:val="0"/>
        </w:rPr>
        <w:t>-2017《</w:t>
      </w:r>
      <w:r>
        <w:rPr>
          <w:rFonts w:hint="eastAsia" w:ascii="宋体" w:hAnsi="宋体"/>
          <w:kern w:val="0"/>
          <w:lang w:val="en-US" w:eastAsia="zh-CN"/>
        </w:rPr>
        <w:t>擦窗机</w:t>
      </w:r>
      <w:r>
        <w:rPr>
          <w:rFonts w:hint="eastAsia" w:ascii="宋体" w:hAnsi="宋体"/>
          <w:kern w:val="0"/>
        </w:rPr>
        <w:t>》在主要零部件报废判定方面的补充和完善，有利于</w:t>
      </w:r>
      <w:r>
        <w:rPr>
          <w:rFonts w:hint="eastAsia" w:ascii="宋体" w:hAnsi="宋体"/>
          <w:color w:val="000000" w:themeColor="text1"/>
          <w:kern w:val="0"/>
          <w14:textFill>
            <w14:solidFill>
              <w14:schemeClr w14:val="tx1"/>
            </w14:solidFill>
          </w14:textFill>
        </w:rPr>
        <w:t>推动</w:t>
      </w:r>
      <w:r>
        <w:rPr>
          <w:rFonts w:hint="eastAsia" w:ascii="宋体" w:hAnsi="宋体"/>
          <w:color w:val="000000" w:themeColor="text1"/>
          <w:kern w:val="0"/>
          <w:lang w:val="en-US" w:eastAsia="zh-CN"/>
          <w14:textFill>
            <w14:solidFill>
              <w14:schemeClr w14:val="tx1"/>
            </w14:solidFill>
          </w14:textFill>
        </w:rPr>
        <w:t>擦窗机</w:t>
      </w:r>
      <w:r>
        <w:rPr>
          <w:rFonts w:hint="eastAsia" w:ascii="宋体" w:hAnsi="宋体"/>
          <w:color w:val="000000" w:themeColor="text1"/>
          <w:kern w:val="0"/>
          <w14:textFill>
            <w14:solidFill>
              <w14:schemeClr w14:val="tx1"/>
            </w14:solidFill>
          </w14:textFill>
        </w:rPr>
        <w:t>行业的健康有序发展。</w:t>
      </w:r>
    </w:p>
    <w:p w14:paraId="252C1B1E">
      <w:pPr>
        <w:pStyle w:val="59"/>
        <w:ind w:firstLine="420"/>
        <w:jc w:val="center"/>
        <w:rPr>
          <w:rFonts w:hint="default"/>
          <w:lang w:val="en-US" w:eastAsia="zh-CN"/>
        </w:rPr>
        <w:sectPr>
          <w:pgSz w:w="11906" w:h="16838"/>
          <w:pgMar w:top="1928" w:right="1134" w:bottom="1134" w:left="1134" w:header="1418" w:footer="1134" w:gutter="284"/>
          <w:pgNumType w:fmt="upperRoman"/>
          <w:cols w:space="425" w:num="1"/>
          <w:formProt w:val="0"/>
          <w:docGrid w:linePitch="312" w:charSpace="0"/>
        </w:sectPr>
      </w:pPr>
    </w:p>
    <w:bookmarkEnd w:id="16"/>
    <w:bookmarkEnd w:id="17"/>
    <w:bookmarkEnd w:id="18"/>
    <w:bookmarkEnd w:id="19"/>
    <w:bookmarkEnd w:id="22"/>
    <w:p w14:paraId="0DD28E37">
      <w:pPr>
        <w:spacing w:line="20" w:lineRule="exact"/>
        <w:jc w:val="center"/>
        <w:rPr>
          <w:rFonts w:hint="eastAsia" w:ascii="黑体" w:hAnsi="黑体" w:eastAsia="黑体"/>
          <w:sz w:val="32"/>
          <w:szCs w:val="32"/>
        </w:rPr>
      </w:pPr>
      <w:bookmarkStart w:id="25" w:name="BookMark4"/>
    </w:p>
    <w:p w14:paraId="61A69039">
      <w:pPr>
        <w:spacing w:line="20" w:lineRule="exact"/>
        <w:jc w:val="center"/>
        <w:rPr>
          <w:rFonts w:hint="eastAsia" w:ascii="黑体" w:hAnsi="黑体" w:eastAsia="黑体"/>
          <w:sz w:val="32"/>
          <w:szCs w:val="32"/>
        </w:rPr>
      </w:pPr>
    </w:p>
    <w:sdt>
      <w:sdtPr>
        <w:tag w:val="NEW_STAND_NAME"/>
        <w:id w:val="595910757"/>
        <w:lock w:val="sdtLocked"/>
        <w:placeholder>
          <w:docPart w:val="117EB584DDFC45949C900B38C4A05A9E"/>
        </w:placeholder>
      </w:sdtPr>
      <w:sdtContent>
        <w:p w14:paraId="4DF7B60B">
          <w:pPr>
            <w:pStyle w:val="180"/>
            <w:spacing w:before="2" w:beforeLines="1" w:after="528" w:afterLines="220"/>
            <w:rPr>
              <w:rFonts w:hint="eastAsia"/>
            </w:rPr>
          </w:pPr>
          <w:bookmarkStart w:id="26" w:name="NEW_STAND_NAME"/>
          <w:r>
            <w:rPr>
              <w:rFonts w:hint="eastAsia"/>
            </w:rPr>
            <w:t>擦窗机主要零部件报废条件</w:t>
          </w:r>
        </w:p>
      </w:sdtContent>
    </w:sdt>
    <w:bookmarkEnd w:id="26"/>
    <w:p w14:paraId="330FADF2">
      <w:pPr>
        <w:pStyle w:val="107"/>
        <w:spacing w:before="240" w:after="240"/>
      </w:pPr>
      <w:bookmarkStart w:id="27" w:name="_Toc6829"/>
      <w:bookmarkStart w:id="28" w:name="_Toc227615907"/>
      <w:bookmarkStart w:id="29" w:name="_Toc24884218"/>
      <w:bookmarkStart w:id="30" w:name="_Toc26648465"/>
      <w:bookmarkStart w:id="31" w:name="_Toc24884211"/>
      <w:bookmarkStart w:id="32" w:name="_Toc17233325"/>
      <w:bookmarkStart w:id="33" w:name="_Toc225181566"/>
      <w:bookmarkStart w:id="34" w:name="_Toc227615878"/>
      <w:bookmarkStart w:id="35" w:name="_Toc97192964"/>
      <w:bookmarkStart w:id="36" w:name="_Toc201520344"/>
      <w:bookmarkStart w:id="37" w:name="_Toc26718930"/>
      <w:bookmarkStart w:id="38" w:name="_Toc226629918"/>
      <w:bookmarkStart w:id="39" w:name="_Toc225181448"/>
      <w:bookmarkStart w:id="40" w:name="_Toc26986771"/>
      <w:bookmarkStart w:id="41" w:name="_Toc26986530"/>
      <w:bookmarkStart w:id="42" w:name="_Toc226629899"/>
      <w:bookmarkStart w:id="43" w:name="_Toc17233333"/>
      <w:bookmarkStart w:id="44" w:name="_Toc24868"/>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DF026A">
      <w:pPr>
        <w:pStyle w:val="59"/>
        <w:ind w:firstLine="420"/>
      </w:pPr>
      <w:bookmarkStart w:id="45" w:name="_Toc17233334"/>
      <w:bookmarkStart w:id="46" w:name="_Toc24884219"/>
      <w:bookmarkStart w:id="47" w:name="_Toc17233326"/>
      <w:bookmarkStart w:id="48" w:name="_Toc26648466"/>
      <w:bookmarkStart w:id="49" w:name="_Toc24884212"/>
      <w:r>
        <w:rPr>
          <w:rFonts w:hint="eastAsia"/>
        </w:rPr>
        <w:t>本文件规定了擦窗机的主要零部件的报废条件。主要零部件包括结构件、吊船、电动机、减速机、主制动器、起升卷筒、滑轮、爬升式起升机构、后备装置、钢丝绳、液压系统、回转支承、轨道。</w:t>
      </w:r>
    </w:p>
    <w:p w14:paraId="30D78E5D">
      <w:pPr>
        <w:pStyle w:val="59"/>
        <w:ind w:firstLine="420"/>
      </w:pPr>
      <w:r>
        <w:rPr>
          <w:rFonts w:hint="eastAsia"/>
        </w:rPr>
        <w:t>本文件适用于符合GB/T 19154中定义的擦窗机设备。</w:t>
      </w:r>
    </w:p>
    <w:p w14:paraId="338D4625">
      <w:pPr>
        <w:pStyle w:val="59"/>
        <w:ind w:firstLine="420"/>
      </w:pPr>
    </w:p>
    <w:p w14:paraId="6D43DC5F">
      <w:pPr>
        <w:pStyle w:val="107"/>
        <w:spacing w:before="240" w:after="240"/>
      </w:pPr>
      <w:bookmarkStart w:id="50" w:name="_Toc26986772"/>
      <w:bookmarkStart w:id="51" w:name="_Toc226629900"/>
      <w:bookmarkStart w:id="52" w:name="_Toc225181449"/>
      <w:bookmarkStart w:id="53" w:name="_Toc225181567"/>
      <w:bookmarkStart w:id="54" w:name="_Toc31659"/>
      <w:bookmarkStart w:id="55" w:name="_Toc97192965"/>
      <w:bookmarkStart w:id="56" w:name="_Toc201520345"/>
      <w:bookmarkStart w:id="57" w:name="_Toc26986531"/>
      <w:bookmarkStart w:id="58" w:name="_Toc226629919"/>
      <w:bookmarkStart w:id="59" w:name="_Toc26718931"/>
      <w:bookmarkStart w:id="60" w:name="_Toc227615879"/>
      <w:bookmarkStart w:id="61" w:name="_Toc227615908"/>
      <w:bookmarkStart w:id="62" w:name="_Toc17581"/>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7E74171B42BC41C998B20FB1DFAE2A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F6A24BE">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367F10E">
      <w:pPr>
        <w:pStyle w:val="59"/>
        <w:spacing w:line="240" w:lineRule="auto"/>
        <w:ind w:firstLine="420"/>
        <w:rPr>
          <w:rFonts w:hint="eastAsia"/>
        </w:rPr>
      </w:pPr>
      <w:r>
        <w:rPr>
          <w:rFonts w:hint="eastAsia"/>
        </w:rPr>
        <w:t>GB/T 5972  起重机钢丝绳保养、维护、检验和报废</w:t>
      </w:r>
    </w:p>
    <w:p w14:paraId="6F4514FE">
      <w:pPr>
        <w:pStyle w:val="59"/>
        <w:spacing w:line="240" w:lineRule="auto"/>
        <w:ind w:firstLine="420"/>
        <w:rPr>
          <w:rFonts w:hint="eastAsia"/>
        </w:rPr>
      </w:pPr>
      <w:r>
        <w:rPr>
          <w:rFonts w:hint="eastAsia"/>
        </w:rPr>
        <w:t>GB/T 6067.1 起重机械安全规程 第1部分：总则</w:t>
      </w:r>
    </w:p>
    <w:p w14:paraId="48434E08">
      <w:pPr>
        <w:pStyle w:val="59"/>
        <w:spacing w:line="240" w:lineRule="auto"/>
        <w:ind w:firstLine="420"/>
      </w:pPr>
      <w:r>
        <w:rPr>
          <w:rFonts w:hint="eastAsia"/>
        </w:rPr>
        <w:t>GB/T 19154 擦窗机</w:t>
      </w:r>
    </w:p>
    <w:p w14:paraId="25713FF0">
      <w:pPr>
        <w:pStyle w:val="107"/>
        <w:spacing w:before="240" w:after="240"/>
      </w:pPr>
      <w:bookmarkStart w:id="63" w:name="_Toc225181450"/>
      <w:bookmarkStart w:id="64" w:name="_Toc226629920"/>
      <w:bookmarkStart w:id="65" w:name="_Toc226629901"/>
      <w:bookmarkStart w:id="66" w:name="_Toc2899"/>
      <w:bookmarkStart w:id="67" w:name="_Toc201520346"/>
      <w:bookmarkStart w:id="68" w:name="_Toc97192966"/>
      <w:bookmarkStart w:id="69" w:name="_Toc227615880"/>
      <w:bookmarkStart w:id="70" w:name="_Toc227615909"/>
      <w:bookmarkStart w:id="71" w:name="_Toc225181568"/>
      <w:bookmarkStart w:id="72" w:name="_Toc9415"/>
      <w:r>
        <w:rPr>
          <w:rFonts w:hint="eastAsia"/>
        </w:rPr>
        <w:t>术语和定义</w:t>
      </w:r>
      <w:bookmarkEnd w:id="63"/>
      <w:bookmarkEnd w:id="64"/>
      <w:bookmarkEnd w:id="65"/>
      <w:bookmarkEnd w:id="66"/>
      <w:bookmarkEnd w:id="67"/>
      <w:bookmarkEnd w:id="68"/>
      <w:bookmarkEnd w:id="69"/>
      <w:bookmarkEnd w:id="70"/>
      <w:bookmarkEnd w:id="71"/>
      <w:bookmarkEnd w:id="72"/>
    </w:p>
    <w:p w14:paraId="043CDF5D">
      <w:pPr>
        <w:pStyle w:val="59"/>
        <w:ind w:firstLine="420"/>
      </w:pPr>
      <w:bookmarkStart w:id="73" w:name="_Toc26986532"/>
      <w:bookmarkEnd w:id="73"/>
      <w:r>
        <w:rPr>
          <w:rFonts w:hint="eastAsia"/>
        </w:rPr>
        <w:t>GB/T 19154《擦窗机》界定的术语和定义适用于本文件。</w:t>
      </w:r>
    </w:p>
    <w:p w14:paraId="39988766">
      <w:pPr>
        <w:pStyle w:val="107"/>
        <w:spacing w:before="240" w:after="240"/>
      </w:pPr>
      <w:bookmarkStart w:id="74" w:name="_Toc226629921"/>
      <w:bookmarkStart w:id="75" w:name="_Toc225181455"/>
      <w:bookmarkStart w:id="76" w:name="_Toc201520347"/>
      <w:bookmarkStart w:id="77" w:name="_Toc225181573"/>
      <w:bookmarkStart w:id="78" w:name="_Toc227615881"/>
      <w:bookmarkStart w:id="79" w:name="_Toc9513"/>
      <w:bookmarkStart w:id="80" w:name="_Toc227615910"/>
      <w:bookmarkStart w:id="81" w:name="_Toc226629902"/>
      <w:bookmarkStart w:id="82" w:name="_Toc24137"/>
      <w:r>
        <w:rPr>
          <w:rFonts w:hint="eastAsia"/>
        </w:rPr>
        <w:t>报废条件</w:t>
      </w:r>
      <w:bookmarkEnd w:id="74"/>
      <w:bookmarkEnd w:id="75"/>
      <w:bookmarkEnd w:id="76"/>
      <w:bookmarkEnd w:id="77"/>
      <w:bookmarkEnd w:id="78"/>
      <w:bookmarkEnd w:id="79"/>
      <w:bookmarkEnd w:id="80"/>
      <w:bookmarkEnd w:id="81"/>
      <w:bookmarkEnd w:id="82"/>
    </w:p>
    <w:p w14:paraId="2B8F3696">
      <w:pPr>
        <w:pStyle w:val="108"/>
        <w:spacing w:before="120" w:after="120"/>
      </w:pPr>
      <w:bookmarkStart w:id="83" w:name="_Toc201519610"/>
      <w:bookmarkStart w:id="84" w:name="_Toc225181574"/>
      <w:bookmarkStart w:id="85" w:name="_Toc227615882"/>
      <w:bookmarkStart w:id="86" w:name="_Toc226629903"/>
      <w:bookmarkStart w:id="87" w:name="_Toc226629922"/>
      <w:bookmarkStart w:id="88" w:name="_Toc225181456"/>
      <w:r>
        <w:rPr>
          <w:rFonts w:hint="eastAsia"/>
        </w:rPr>
        <w:t>总则</w:t>
      </w:r>
      <w:bookmarkEnd w:id="83"/>
      <w:bookmarkEnd w:id="84"/>
      <w:bookmarkEnd w:id="85"/>
      <w:bookmarkEnd w:id="86"/>
      <w:bookmarkEnd w:id="87"/>
      <w:bookmarkEnd w:id="88"/>
    </w:p>
    <w:p w14:paraId="302DECDD">
      <w:pPr>
        <w:pStyle w:val="59"/>
        <w:spacing w:line="276" w:lineRule="auto"/>
        <w:ind w:firstLine="420"/>
      </w:pPr>
      <w:bookmarkStart w:id="89" w:name="OLE_LINK1"/>
      <w:r>
        <w:rPr>
          <w:rFonts w:hint="eastAsia"/>
        </w:rPr>
        <w:t>擦窗机主要零部件及结构件达到本文件规定的报废条件且无法修复，应报废。</w:t>
      </w:r>
    </w:p>
    <w:p w14:paraId="5A77087D">
      <w:pPr>
        <w:pStyle w:val="165"/>
        <w:spacing w:line="276" w:lineRule="auto"/>
      </w:pPr>
      <w:bookmarkStart w:id="90" w:name="_Toc226629923"/>
      <w:bookmarkStart w:id="91" w:name="_Toc226629904"/>
      <w:r>
        <w:rPr>
          <w:rFonts w:hint="eastAsia"/>
        </w:rPr>
        <w:t>主要结构件中的</w:t>
      </w:r>
      <w:bookmarkEnd w:id="90"/>
      <w:bookmarkEnd w:id="91"/>
      <w:r>
        <w:rPr>
          <w:rFonts w:hint="eastAsia"/>
        </w:rPr>
        <w:t>吊臂、平衡臂、立柱、底架、伸缩吊架（如有）出现下列情况之一，经修复后应能符合GB/T 19154-2017中9.3.8、9.3.9、9.3.12的要求才可继续使用，否则视为达到报废条件：</w:t>
      </w:r>
    </w:p>
    <w:p w14:paraId="4ABE54FC">
      <w:pPr>
        <w:pStyle w:val="177"/>
        <w:spacing w:line="276" w:lineRule="auto"/>
      </w:pPr>
      <w:r>
        <w:rPr>
          <w:rFonts w:hint="eastAsia"/>
        </w:rPr>
        <w:t>产生目测可见的永久变形；</w:t>
      </w:r>
    </w:p>
    <w:p w14:paraId="19B707C8">
      <w:pPr>
        <w:pStyle w:val="177"/>
        <w:spacing w:line="276" w:lineRule="auto"/>
      </w:pPr>
      <w:r>
        <w:rPr>
          <w:rFonts w:hint="eastAsia"/>
          <w:lang w:val="en-US" w:eastAsia="zh-CN"/>
        </w:rPr>
        <w:t>主要受力构件断面减薄达设计厚度的10%；</w:t>
      </w:r>
    </w:p>
    <w:p w14:paraId="5AE25D03">
      <w:pPr>
        <w:pStyle w:val="177"/>
        <w:spacing w:line="276" w:lineRule="auto"/>
      </w:pPr>
      <w:r>
        <w:rPr>
          <w:rFonts w:hint="eastAsia"/>
        </w:rPr>
        <w:t>母材表面裂纹；</w:t>
      </w:r>
    </w:p>
    <w:p w14:paraId="05DB323B">
      <w:pPr>
        <w:pStyle w:val="177"/>
        <w:spacing w:line="276" w:lineRule="auto"/>
      </w:pPr>
      <w:r>
        <w:rPr>
          <w:rFonts w:hint="eastAsia"/>
        </w:rPr>
        <w:t>悬挂装置等整体失稳后不得修复，应予报废。</w:t>
      </w:r>
    </w:p>
    <w:bookmarkEnd w:id="89"/>
    <w:p w14:paraId="693BEBD5">
      <w:pPr>
        <w:pStyle w:val="165"/>
        <w:spacing w:line="276" w:lineRule="auto"/>
      </w:pPr>
      <w:r>
        <w:rPr>
          <w:rFonts w:hint="eastAsia"/>
        </w:rPr>
        <w:t>吊船出现下列情况之一且无法修复时，经修复后应能符合GB/T 19154-2017中7.8的要求才可继续使用，否则视为达到报废条件：</w:t>
      </w:r>
    </w:p>
    <w:p w14:paraId="3E78B716">
      <w:pPr>
        <w:pStyle w:val="177"/>
        <w:numPr>
          <w:ilvl w:val="0"/>
          <w:numId w:val="32"/>
        </w:numPr>
        <w:spacing w:line="276" w:lineRule="auto"/>
      </w:pPr>
      <w:r>
        <w:rPr>
          <w:rFonts w:hint="eastAsia"/>
        </w:rPr>
        <w:t>主要受力构件产生目测可见的永久变形；</w:t>
      </w:r>
    </w:p>
    <w:p w14:paraId="2E43FCB8">
      <w:pPr>
        <w:pStyle w:val="177"/>
        <w:numPr>
          <w:ilvl w:val="0"/>
          <w:numId w:val="32"/>
        </w:numPr>
        <w:spacing w:line="276" w:lineRule="auto"/>
      </w:pPr>
      <w:r>
        <w:rPr>
          <w:rFonts w:hint="eastAsia"/>
        </w:rPr>
        <w:t>当受力杆件或其焊缝出现裂纹；</w:t>
      </w:r>
    </w:p>
    <w:p w14:paraId="255B41AE">
      <w:pPr>
        <w:pStyle w:val="177"/>
        <w:numPr>
          <w:ilvl w:val="0"/>
          <w:numId w:val="32"/>
        </w:numPr>
        <w:spacing w:line="276" w:lineRule="auto"/>
      </w:pPr>
      <w:r>
        <w:rPr>
          <w:rFonts w:hint="eastAsia"/>
          <w:lang w:val="en-US" w:eastAsia="zh-CN"/>
        </w:rPr>
        <w:t>主要受力杆件断面减薄达设计厚度的10%。</w:t>
      </w:r>
    </w:p>
    <w:p w14:paraId="33402428">
      <w:pPr>
        <w:pStyle w:val="165"/>
        <w:spacing w:line="276" w:lineRule="auto"/>
      </w:pPr>
      <w:r>
        <w:rPr>
          <w:rFonts w:hint="eastAsia"/>
        </w:rPr>
        <w:t>电动机出现下列情况之一且无法修复时，视为达到报废条件：</w:t>
      </w:r>
    </w:p>
    <w:p w14:paraId="20712BB1">
      <w:pPr>
        <w:pStyle w:val="177"/>
        <w:numPr>
          <w:ilvl w:val="0"/>
          <w:numId w:val="33"/>
        </w:numPr>
        <w:spacing w:line="276" w:lineRule="auto"/>
      </w:pPr>
      <w:r>
        <w:rPr>
          <w:rFonts w:hint="eastAsia"/>
        </w:rPr>
        <w:t>电动机外壳或基座有影响安全的破裂；</w:t>
      </w:r>
    </w:p>
    <w:p w14:paraId="30A5F733">
      <w:pPr>
        <w:pStyle w:val="177"/>
        <w:numPr>
          <w:ilvl w:val="0"/>
          <w:numId w:val="33"/>
        </w:numPr>
        <w:spacing w:line="276" w:lineRule="auto"/>
      </w:pPr>
      <w:r>
        <w:rPr>
          <w:rFonts w:hint="eastAsia"/>
        </w:rPr>
        <w:t>电动机轴承出现碎裂或影响运行的磨损；</w:t>
      </w:r>
    </w:p>
    <w:p w14:paraId="6A092775">
      <w:pPr>
        <w:pStyle w:val="177"/>
        <w:numPr>
          <w:ilvl w:val="0"/>
          <w:numId w:val="33"/>
        </w:numPr>
        <w:spacing w:line="276" w:lineRule="auto"/>
      </w:pPr>
      <w:r>
        <w:rPr>
          <w:rFonts w:hint="eastAsia"/>
        </w:rPr>
        <w:t>电动机定子与转子发生碰擦；</w:t>
      </w:r>
    </w:p>
    <w:p w14:paraId="3B2DB608">
      <w:pPr>
        <w:pStyle w:val="165"/>
        <w:spacing w:line="276" w:lineRule="auto"/>
      </w:pPr>
      <w:r>
        <w:rPr>
          <w:rFonts w:hint="eastAsia"/>
        </w:rPr>
        <w:t>减速机出现下列情况之一且无法修复时，视为达到报废条件：</w:t>
      </w:r>
    </w:p>
    <w:p w14:paraId="3967EA20">
      <w:pPr>
        <w:pStyle w:val="177"/>
        <w:numPr>
          <w:ilvl w:val="0"/>
          <w:numId w:val="34"/>
        </w:numPr>
        <w:spacing w:line="276" w:lineRule="auto"/>
      </w:pPr>
      <w:r>
        <w:rPr>
          <w:rFonts w:hint="eastAsia"/>
        </w:rPr>
        <w:t>蜗轮副、斜齿轮、行星齿轮出现影响安全运行的轮齿塑性变形、折断、裂纹、齿面点蚀、胶合或磨损等形式的严重失效；</w:t>
      </w:r>
    </w:p>
    <w:p w14:paraId="628DA4FD">
      <w:pPr>
        <w:pStyle w:val="177"/>
        <w:numPr>
          <w:ilvl w:val="0"/>
          <w:numId w:val="34"/>
        </w:numPr>
        <w:spacing w:line="276" w:lineRule="auto"/>
      </w:pPr>
      <w:r>
        <w:rPr>
          <w:rFonts w:hint="eastAsia"/>
        </w:rPr>
        <w:t>传动轴、轴承或键出现影响安全运行的损坏；</w:t>
      </w:r>
    </w:p>
    <w:p w14:paraId="6EFF762B">
      <w:pPr>
        <w:pStyle w:val="177"/>
        <w:numPr>
          <w:ilvl w:val="0"/>
          <w:numId w:val="34"/>
        </w:numPr>
        <w:spacing w:line="276" w:lineRule="auto"/>
      </w:pPr>
      <w:r>
        <w:rPr>
          <w:rFonts w:hint="eastAsia"/>
        </w:rPr>
        <w:t>减速箱体出现裂纹；</w:t>
      </w:r>
    </w:p>
    <w:p w14:paraId="7C8FC80A">
      <w:pPr>
        <w:pStyle w:val="165"/>
        <w:spacing w:line="276" w:lineRule="auto"/>
      </w:pPr>
      <w:r>
        <w:rPr>
          <w:rFonts w:hint="eastAsia"/>
        </w:rPr>
        <w:t>主制动器出现下列情况之一，经修复后应能符合GB/T 19154-2017 中8.1.6、8.3.2的要求，否则视为达到报废条件：</w:t>
      </w:r>
    </w:p>
    <w:p w14:paraId="562EC242">
      <w:pPr>
        <w:pStyle w:val="177"/>
        <w:numPr>
          <w:ilvl w:val="0"/>
          <w:numId w:val="35"/>
        </w:numPr>
        <w:spacing w:line="276" w:lineRule="auto"/>
      </w:pPr>
      <w:r>
        <w:rPr>
          <w:rFonts w:hint="eastAsia"/>
        </w:rPr>
        <w:t>吊船运行时，制动器的制动衬块（片）与制动轮（盘）不能完全脱离；</w:t>
      </w:r>
    </w:p>
    <w:p w14:paraId="5ADF4DC5">
      <w:pPr>
        <w:pStyle w:val="177"/>
        <w:numPr>
          <w:ilvl w:val="0"/>
          <w:numId w:val="35"/>
        </w:numPr>
        <w:spacing w:line="276" w:lineRule="auto"/>
      </w:pPr>
      <w:r>
        <w:rPr>
          <w:rFonts w:hint="eastAsia"/>
        </w:rPr>
        <w:t>制动衬块（片）严重磨损或制动弹簧失效，导致制动力不足；</w:t>
      </w:r>
    </w:p>
    <w:p w14:paraId="43B758B5">
      <w:pPr>
        <w:pStyle w:val="177"/>
        <w:numPr>
          <w:ilvl w:val="0"/>
          <w:numId w:val="35"/>
        </w:numPr>
        <w:spacing w:line="276" w:lineRule="auto"/>
      </w:pPr>
      <w:r>
        <w:rPr>
          <w:rFonts w:hint="eastAsia"/>
        </w:rPr>
        <w:t>受力结构件（例如：制动臂、销轴等）出现裂纹或严重磨损；</w:t>
      </w:r>
    </w:p>
    <w:p w14:paraId="6BD2DEEF">
      <w:pPr>
        <w:pStyle w:val="177"/>
        <w:numPr>
          <w:ilvl w:val="0"/>
          <w:numId w:val="35"/>
        </w:numPr>
        <w:spacing w:line="276" w:lineRule="auto"/>
      </w:pPr>
      <w:r>
        <w:rPr>
          <w:rFonts w:hint="eastAsia"/>
        </w:rPr>
        <w:t>制动器电磁线圈铁芯动作异常，出现卡阻现象；</w:t>
      </w:r>
    </w:p>
    <w:p w14:paraId="13BF6619">
      <w:pPr>
        <w:pStyle w:val="177"/>
        <w:numPr>
          <w:ilvl w:val="0"/>
          <w:numId w:val="35"/>
        </w:numPr>
        <w:spacing w:line="276" w:lineRule="auto"/>
      </w:pPr>
      <w:r>
        <w:rPr>
          <w:rFonts w:hint="eastAsia"/>
        </w:rPr>
        <w:t>制动器电磁线圈防尘件破损；</w:t>
      </w:r>
    </w:p>
    <w:p w14:paraId="66A024BE">
      <w:pPr>
        <w:pStyle w:val="165"/>
        <w:spacing w:line="276" w:lineRule="auto"/>
      </w:pPr>
      <w:r>
        <w:rPr>
          <w:rFonts w:hint="eastAsia"/>
        </w:rPr>
        <w:t>起升卷筒出现下列情况之一时，视为达到报废条件：</w:t>
      </w:r>
    </w:p>
    <w:p w14:paraId="1439C6DA">
      <w:pPr>
        <w:pStyle w:val="177"/>
        <w:numPr>
          <w:ilvl w:val="0"/>
          <w:numId w:val="36"/>
        </w:numPr>
        <w:spacing w:line="276" w:lineRule="auto"/>
      </w:pPr>
      <w:r>
        <w:rPr>
          <w:rFonts w:hint="eastAsia"/>
        </w:rPr>
        <w:t>裂纹或轮缘破损；</w:t>
      </w:r>
    </w:p>
    <w:p w14:paraId="0FC1E9E3">
      <w:pPr>
        <w:pStyle w:val="177"/>
        <w:numPr>
          <w:ilvl w:val="0"/>
          <w:numId w:val="36"/>
        </w:numPr>
        <w:spacing w:line="276" w:lineRule="auto"/>
      </w:pPr>
      <w:r>
        <w:rPr>
          <w:rFonts w:hint="eastAsia"/>
        </w:rPr>
        <w:t>卷筒壁磨损量达原壁厚的20%；</w:t>
      </w:r>
    </w:p>
    <w:p w14:paraId="0B221101">
      <w:pPr>
        <w:pStyle w:val="177"/>
        <w:numPr>
          <w:ilvl w:val="255"/>
          <w:numId w:val="0"/>
        </w:numPr>
        <w:spacing w:line="276" w:lineRule="auto"/>
        <w:ind w:left="425"/>
      </w:pPr>
      <w:r>
        <w:rPr>
          <w:rFonts w:hint="eastAsia"/>
        </w:rPr>
        <w:t>[来源：GB/T 6067.1-2010，4.2.4.5]</w:t>
      </w:r>
    </w:p>
    <w:p w14:paraId="205D43F9">
      <w:pPr>
        <w:pStyle w:val="165"/>
        <w:spacing w:line="276" w:lineRule="auto"/>
      </w:pPr>
      <w:r>
        <w:rPr>
          <w:rFonts w:hint="eastAsia"/>
        </w:rPr>
        <w:t>滑轮</w:t>
      </w:r>
      <w:r>
        <w:t>出现下列情况之一时，视为达到报废条件：</w:t>
      </w:r>
    </w:p>
    <w:p w14:paraId="77E4113E">
      <w:pPr>
        <w:pStyle w:val="177"/>
        <w:numPr>
          <w:ilvl w:val="0"/>
          <w:numId w:val="37"/>
        </w:numPr>
        <w:spacing w:line="276" w:lineRule="auto"/>
        <w:rPr>
          <w:rFonts w:hint="eastAsia"/>
        </w:rPr>
      </w:pPr>
      <w:r>
        <w:rPr>
          <w:rFonts w:hint="eastAsia"/>
        </w:rPr>
        <w:t>影响性能的表面缺陷(如:裂纹等)；</w:t>
      </w:r>
    </w:p>
    <w:p w14:paraId="03766DB0">
      <w:pPr>
        <w:pStyle w:val="177"/>
        <w:numPr>
          <w:ilvl w:val="0"/>
          <w:numId w:val="37"/>
        </w:numPr>
        <w:spacing w:line="276" w:lineRule="auto"/>
        <w:rPr>
          <w:rFonts w:hint="eastAsia"/>
        </w:rPr>
      </w:pPr>
      <w:r>
        <w:rPr>
          <w:rFonts w:hint="eastAsia"/>
        </w:rPr>
        <w:t>轮槽不均匀磨损达3mm；</w:t>
      </w:r>
    </w:p>
    <w:p w14:paraId="715ABDA5">
      <w:pPr>
        <w:pStyle w:val="177"/>
        <w:numPr>
          <w:ilvl w:val="0"/>
          <w:numId w:val="37"/>
        </w:numPr>
        <w:spacing w:line="276" w:lineRule="auto"/>
        <w:rPr>
          <w:rFonts w:hint="eastAsia"/>
        </w:rPr>
      </w:pPr>
      <w:r>
        <w:rPr>
          <w:rFonts w:hint="eastAsia"/>
        </w:rPr>
        <w:t>轮槽壁厚磨损达原壁厚的20%；</w:t>
      </w:r>
    </w:p>
    <w:p w14:paraId="7F41CA21">
      <w:pPr>
        <w:pStyle w:val="177"/>
        <w:numPr>
          <w:ilvl w:val="0"/>
          <w:numId w:val="37"/>
        </w:numPr>
        <w:spacing w:line="276" w:lineRule="auto"/>
      </w:pPr>
      <w:r>
        <w:rPr>
          <w:rFonts w:hint="eastAsia"/>
        </w:rPr>
        <w:t>因磨损使轮槽底部直径减少量达钢丝绳直径的50%。</w:t>
      </w:r>
    </w:p>
    <w:p w14:paraId="0B4CF732">
      <w:pPr>
        <w:pStyle w:val="59"/>
        <w:ind w:firstLine="420"/>
        <w:rPr>
          <w:rFonts w:hint="eastAsia"/>
        </w:rPr>
      </w:pPr>
      <w:r>
        <w:rPr>
          <w:rFonts w:hint="eastAsia"/>
        </w:rPr>
        <w:t>[来源：</w:t>
      </w:r>
      <w:r>
        <w:t>GB</w:t>
      </w:r>
      <w:r>
        <w:rPr>
          <w:rFonts w:hint="eastAsia"/>
        </w:rPr>
        <w:t>/T</w:t>
      </w:r>
      <w:r>
        <w:t xml:space="preserve"> 6067.1-2010，</w:t>
      </w:r>
      <w:r>
        <w:rPr>
          <w:rFonts w:hint="eastAsia"/>
        </w:rPr>
        <w:t>4.2.5.3]</w:t>
      </w:r>
    </w:p>
    <w:p w14:paraId="382F219D">
      <w:pPr>
        <w:pStyle w:val="165"/>
        <w:spacing w:line="276" w:lineRule="auto"/>
      </w:pPr>
      <w:bookmarkStart w:id="92" w:name="_Toc225181463"/>
      <w:bookmarkStart w:id="93" w:name="_Toc201519617"/>
      <w:bookmarkStart w:id="94" w:name="_Toc226629910"/>
      <w:bookmarkStart w:id="95" w:name="_Toc225181580"/>
      <w:bookmarkStart w:id="96" w:name="_Toc226629929"/>
      <w:r>
        <w:rPr>
          <w:rFonts w:hint="eastAsia"/>
        </w:rPr>
        <w:t>爬升式起升机构出现下列情况之一且无法修复时，视为达到报废条件：</w:t>
      </w:r>
    </w:p>
    <w:p w14:paraId="763DEEA8">
      <w:pPr>
        <w:pStyle w:val="177"/>
        <w:numPr>
          <w:ilvl w:val="0"/>
          <w:numId w:val="38"/>
        </w:numPr>
        <w:spacing w:line="276" w:lineRule="auto"/>
      </w:pPr>
      <w:r>
        <w:rPr>
          <w:rFonts w:hint="eastAsia"/>
        </w:rPr>
        <w:t>箱体破损或出现裂纹，应予报废；</w:t>
      </w:r>
    </w:p>
    <w:p w14:paraId="43AF4F1B">
      <w:pPr>
        <w:pStyle w:val="177"/>
        <w:spacing w:line="276" w:lineRule="auto"/>
        <w:rPr>
          <w:rFonts w:hint="eastAsia"/>
        </w:rPr>
      </w:pPr>
      <w:r>
        <w:rPr>
          <w:rFonts w:hint="eastAsia"/>
        </w:rPr>
        <w:t>因使用磨损等原因导致的提升力或牵引力不满足GB/T 19154-2017中8.5.1的规定。</w:t>
      </w:r>
    </w:p>
    <w:p w14:paraId="34F2F801">
      <w:pPr>
        <w:pStyle w:val="108"/>
        <w:spacing w:before="120" w:after="120"/>
      </w:pPr>
      <w:bookmarkStart w:id="97" w:name="_Toc227615883"/>
      <w:r>
        <w:rPr>
          <w:rFonts w:hint="eastAsia"/>
        </w:rPr>
        <w:t>后备</w:t>
      </w:r>
      <w:bookmarkEnd w:id="92"/>
      <w:bookmarkEnd w:id="93"/>
      <w:bookmarkEnd w:id="94"/>
      <w:bookmarkEnd w:id="95"/>
      <w:bookmarkEnd w:id="96"/>
      <w:r>
        <w:rPr>
          <w:rFonts w:hint="eastAsia"/>
        </w:rPr>
        <w:t>装置</w:t>
      </w:r>
      <w:bookmarkEnd w:id="97"/>
    </w:p>
    <w:p w14:paraId="6D016A58">
      <w:pPr>
        <w:pStyle w:val="168"/>
        <w:spacing w:line="276" w:lineRule="auto"/>
      </w:pPr>
      <w:r>
        <w:rPr>
          <w:rFonts w:hint="eastAsia"/>
        </w:rPr>
        <w:t>防坠落装置出现下列情况，视为达到报废条件：</w:t>
      </w:r>
    </w:p>
    <w:p w14:paraId="636D7F71">
      <w:pPr>
        <w:pStyle w:val="177"/>
        <w:numPr>
          <w:ilvl w:val="0"/>
          <w:numId w:val="39"/>
        </w:numPr>
        <w:spacing w:line="276" w:lineRule="auto"/>
      </w:pPr>
      <w:r>
        <w:rPr>
          <w:rFonts w:hint="eastAsia"/>
        </w:rPr>
        <w:t>防坠落装置不能满足GB/T 19154-2017中8.9.3.5的要求；</w:t>
      </w:r>
    </w:p>
    <w:p w14:paraId="7B9D5FF5">
      <w:pPr>
        <w:pStyle w:val="177"/>
        <w:spacing w:line="276" w:lineRule="auto"/>
      </w:pPr>
      <w:r>
        <w:rPr>
          <w:rFonts w:hint="eastAsia"/>
        </w:rPr>
        <w:t>采用安全锁作为防坠落装置的情形，安全锁在年度标定中不合格；</w:t>
      </w:r>
    </w:p>
    <w:p w14:paraId="057FF9AE">
      <w:pPr>
        <w:pStyle w:val="168"/>
        <w:spacing w:line="276" w:lineRule="auto"/>
      </w:pPr>
      <w:r>
        <w:rPr>
          <w:rFonts w:hint="eastAsia"/>
        </w:rPr>
        <w:t>后备制动器因冲击变形、锈蚀等原因导致后备制动不能满足GB/T 19154-2017中8.9.3.6的要求且无法修复时，视为达到报废条件。</w:t>
      </w:r>
    </w:p>
    <w:p w14:paraId="7076D229">
      <w:pPr>
        <w:pStyle w:val="165"/>
        <w:spacing w:line="276" w:lineRule="auto"/>
      </w:pPr>
      <w:r>
        <w:rPr>
          <w:rFonts w:hint="eastAsia"/>
        </w:rPr>
        <w:t>工作钢丝绳、安全钢丝绳和悬挂装置加强钢丝绳出现下列情况之一，视为达到报废条件：</w:t>
      </w:r>
    </w:p>
    <w:p w14:paraId="5F3341EE">
      <w:pPr>
        <w:widowControl/>
        <w:adjustRightInd w:val="0"/>
        <w:snapToGrid w:val="0"/>
        <w:spacing w:line="300" w:lineRule="auto"/>
        <w:ind w:firstLine="420" w:firstLineChars="200"/>
        <w:jc w:val="left"/>
        <w:rPr>
          <w:rFonts w:ascii="宋体" w:hAnsi="宋体"/>
          <w:kern w:val="0"/>
          <w:szCs w:val="21"/>
        </w:rPr>
      </w:pPr>
      <w:r>
        <w:rPr>
          <w:rFonts w:hint="eastAsia" w:ascii="宋体" w:hAnsi="宋体"/>
          <w:kern w:val="0"/>
          <w:szCs w:val="21"/>
        </w:rPr>
        <w:t>工作钢丝绳、安全钢丝绳应按整个长度进行检查。当钢丝绳出现下列情况之一时，视为达到报废条件：</w:t>
      </w:r>
    </w:p>
    <w:p w14:paraId="534D4F4E">
      <w:pPr>
        <w:pStyle w:val="177"/>
        <w:numPr>
          <w:ilvl w:val="0"/>
          <w:numId w:val="40"/>
        </w:numPr>
        <w:spacing w:line="276" w:lineRule="auto"/>
        <w:rPr>
          <w:rFonts w:hint="eastAsia"/>
        </w:rPr>
      </w:pPr>
      <w:r>
        <w:rPr>
          <w:rFonts w:hint="eastAsia"/>
        </w:rPr>
        <w:t>可见断丝：钢丝绳外层股任何位置可见断丝数量达到表1的规定；</w:t>
      </w:r>
    </w:p>
    <w:p w14:paraId="122A378C">
      <w:pPr>
        <w:adjustRightInd w:val="0"/>
        <w:spacing w:after="156" w:afterLines="50"/>
        <w:ind w:leftChars="-382" w:hanging="802" w:hangingChars="382"/>
        <w:jc w:val="center"/>
        <w:rPr>
          <w:rFonts w:ascii="黑体" w:hAnsi="黑体" w:eastAsia="黑体"/>
          <w:kern w:val="0"/>
          <w:szCs w:val="21"/>
        </w:rPr>
      </w:pPr>
      <w:r>
        <w:rPr>
          <w:rFonts w:hint="eastAsia" w:ascii="黑体" w:hAnsi="黑体" w:eastAsia="黑体"/>
          <w:kern w:val="0"/>
          <w:szCs w:val="21"/>
        </w:rPr>
        <w:t>表1</w:t>
      </w:r>
      <w:r>
        <w:rPr>
          <w:rFonts w:hint="eastAsia" w:ascii="黑体" w:hAnsi="黑体" w:eastAsia="黑体"/>
          <w:kern w:val="0"/>
          <w:szCs w:val="21"/>
          <w:lang w:val="en-US" w:eastAsia="zh-CN"/>
        </w:rPr>
        <w:t xml:space="preserve"> </w:t>
      </w:r>
      <w:r>
        <w:rPr>
          <w:rFonts w:hint="eastAsia" w:ascii="黑体" w:hAnsi="黑体" w:eastAsia="黑体"/>
          <w:kern w:val="0"/>
          <w:szCs w:val="21"/>
        </w:rPr>
        <w:t>允许最多可见断丝数</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2553"/>
        <w:gridCol w:w="3691"/>
      </w:tblGrid>
      <w:tr w14:paraId="5907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115" w:type="dxa"/>
            <w:vMerge w:val="restart"/>
            <w:tcBorders>
              <w:top w:val="single" w:color="auto" w:sz="6" w:space="0"/>
              <w:left w:val="single" w:color="auto" w:sz="6" w:space="0"/>
              <w:bottom w:val="single" w:color="auto" w:sz="6" w:space="0"/>
              <w:right w:val="single" w:color="auto" w:sz="6" w:space="0"/>
            </w:tcBorders>
            <w:vAlign w:val="center"/>
          </w:tcPr>
          <w:p w14:paraId="451F50CE">
            <w:pPr>
              <w:adjustRightInd w:val="0"/>
              <w:snapToGrid w:val="0"/>
              <w:spacing w:line="240" w:lineRule="auto"/>
              <w:ind w:leftChars="-50" w:hanging="90" w:hangingChars="50"/>
              <w:jc w:val="center"/>
              <w:rPr>
                <w:rFonts w:hint="eastAsia" w:ascii="宋体" w:hAnsi="宋体" w:cs="宋体"/>
                <w:kern w:val="0"/>
                <w:sz w:val="18"/>
                <w:szCs w:val="18"/>
              </w:rPr>
            </w:pPr>
            <w:r>
              <w:rPr>
                <w:rFonts w:hint="eastAsia" w:ascii="宋体" w:hAnsi="宋体" w:cs="宋体"/>
                <w:kern w:val="0"/>
                <w:sz w:val="18"/>
                <w:szCs w:val="18"/>
              </w:rPr>
              <w:t>外层股中承载钢丝的总数</w:t>
            </w:r>
          </w:p>
          <w:p w14:paraId="3D01FDAD">
            <w:pPr>
              <w:adjustRightInd w:val="0"/>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n</w:t>
            </w:r>
          </w:p>
        </w:tc>
        <w:tc>
          <w:tcPr>
            <w:tcW w:w="6244" w:type="dxa"/>
            <w:gridSpan w:val="2"/>
            <w:tcBorders>
              <w:top w:val="single" w:color="auto" w:sz="6" w:space="0"/>
              <w:left w:val="single" w:color="auto" w:sz="6" w:space="0"/>
              <w:bottom w:val="single" w:color="auto" w:sz="6" w:space="0"/>
              <w:right w:val="single" w:color="auto" w:sz="6" w:space="0"/>
            </w:tcBorders>
            <w:vAlign w:val="center"/>
          </w:tcPr>
          <w:p w14:paraId="52B68831">
            <w:pPr>
              <w:adjustRightInd w:val="0"/>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可见外部断丝数量</w:t>
            </w:r>
          </w:p>
        </w:tc>
      </w:tr>
      <w:tr w14:paraId="6CB5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115" w:type="dxa"/>
            <w:vMerge w:val="continue"/>
            <w:tcBorders>
              <w:top w:val="single" w:color="auto" w:sz="6" w:space="0"/>
              <w:left w:val="single" w:color="auto" w:sz="6" w:space="0"/>
              <w:bottom w:val="single" w:color="auto" w:sz="6" w:space="0"/>
              <w:right w:val="single" w:color="auto" w:sz="6" w:space="0"/>
            </w:tcBorders>
            <w:vAlign w:val="center"/>
          </w:tcPr>
          <w:p w14:paraId="391CAFC8">
            <w:pPr>
              <w:adjustRightInd w:val="0"/>
              <w:snapToGrid w:val="0"/>
              <w:spacing w:line="240" w:lineRule="auto"/>
              <w:jc w:val="center"/>
              <w:rPr>
                <w:rFonts w:hint="eastAsia" w:ascii="宋体" w:hAnsi="宋体" w:cs="宋体"/>
                <w:kern w:val="0"/>
                <w:sz w:val="18"/>
                <w:szCs w:val="18"/>
              </w:rPr>
            </w:pPr>
          </w:p>
        </w:tc>
        <w:tc>
          <w:tcPr>
            <w:tcW w:w="2553" w:type="dxa"/>
            <w:tcBorders>
              <w:top w:val="single" w:color="auto" w:sz="6" w:space="0"/>
              <w:left w:val="single" w:color="auto" w:sz="6" w:space="0"/>
              <w:bottom w:val="single" w:color="auto" w:sz="6" w:space="0"/>
              <w:right w:val="single" w:color="auto" w:sz="6" w:space="0"/>
            </w:tcBorders>
            <w:vAlign w:val="center"/>
          </w:tcPr>
          <w:p w14:paraId="5B7B6898">
            <w:pPr>
              <w:adjustRightInd w:val="0"/>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6d长度范围内</w:t>
            </w:r>
          </w:p>
        </w:tc>
        <w:tc>
          <w:tcPr>
            <w:tcW w:w="3691" w:type="dxa"/>
            <w:tcBorders>
              <w:top w:val="single" w:color="auto" w:sz="6" w:space="0"/>
              <w:left w:val="single" w:color="auto" w:sz="6" w:space="0"/>
              <w:bottom w:val="single" w:color="auto" w:sz="6" w:space="0"/>
              <w:right w:val="single" w:color="auto" w:sz="6" w:space="0"/>
            </w:tcBorders>
            <w:vAlign w:val="center"/>
          </w:tcPr>
          <w:p w14:paraId="379412C4">
            <w:pPr>
              <w:adjustRightInd w:val="0"/>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30d长度范围内</w:t>
            </w:r>
          </w:p>
        </w:tc>
      </w:tr>
      <w:tr w14:paraId="3890A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115" w:type="dxa"/>
            <w:tcBorders>
              <w:top w:val="single" w:color="auto" w:sz="6" w:space="0"/>
              <w:left w:val="single" w:color="auto" w:sz="6" w:space="0"/>
              <w:bottom w:val="single" w:color="auto" w:sz="6" w:space="0"/>
              <w:right w:val="single" w:color="auto" w:sz="6" w:space="0"/>
            </w:tcBorders>
            <w:vAlign w:val="center"/>
          </w:tcPr>
          <w:p w14:paraId="0C21791D">
            <w:pPr>
              <w:adjustRightInd w:val="0"/>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76 ≤ n ≤ 100</w:t>
            </w:r>
          </w:p>
        </w:tc>
        <w:tc>
          <w:tcPr>
            <w:tcW w:w="2553" w:type="dxa"/>
            <w:tcBorders>
              <w:top w:val="single" w:color="auto" w:sz="6" w:space="0"/>
              <w:left w:val="single" w:color="auto" w:sz="6" w:space="0"/>
              <w:bottom w:val="single" w:color="auto" w:sz="6" w:space="0"/>
              <w:right w:val="single" w:color="auto" w:sz="6" w:space="0"/>
            </w:tcBorders>
            <w:vAlign w:val="center"/>
          </w:tcPr>
          <w:p w14:paraId="363A7F8B">
            <w:pPr>
              <w:adjustRightInd w:val="0"/>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4</w:t>
            </w:r>
          </w:p>
        </w:tc>
        <w:tc>
          <w:tcPr>
            <w:tcW w:w="3691" w:type="dxa"/>
            <w:tcBorders>
              <w:top w:val="single" w:color="auto" w:sz="6" w:space="0"/>
              <w:left w:val="single" w:color="auto" w:sz="6" w:space="0"/>
              <w:bottom w:val="single" w:color="auto" w:sz="6" w:space="0"/>
              <w:right w:val="single" w:color="auto" w:sz="6" w:space="0"/>
            </w:tcBorders>
            <w:vAlign w:val="center"/>
          </w:tcPr>
          <w:p w14:paraId="49ED568F">
            <w:pPr>
              <w:adjustRightInd w:val="0"/>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8</w:t>
            </w:r>
          </w:p>
        </w:tc>
      </w:tr>
      <w:tr w14:paraId="3800F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3115" w:type="dxa"/>
            <w:tcBorders>
              <w:top w:val="single" w:color="auto" w:sz="6" w:space="0"/>
              <w:left w:val="single" w:color="auto" w:sz="6" w:space="0"/>
              <w:bottom w:val="single" w:color="auto" w:sz="6" w:space="0"/>
              <w:right w:val="single" w:color="auto" w:sz="6" w:space="0"/>
            </w:tcBorders>
            <w:vAlign w:val="center"/>
          </w:tcPr>
          <w:p w14:paraId="314DBF1F">
            <w:pPr>
              <w:adjustRightInd w:val="0"/>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 xml:space="preserve">n </w:t>
            </w:r>
            <w:r>
              <w:rPr>
                <w:rFonts w:hint="eastAsia" w:ascii="宋体" w:hAnsi="宋体" w:eastAsia="宋体" w:cs="宋体"/>
                <w:kern w:val="0"/>
                <w:sz w:val="18"/>
                <w:szCs w:val="18"/>
              </w:rPr>
              <w:t xml:space="preserve">≥ </w:t>
            </w:r>
            <w:r>
              <w:rPr>
                <w:rFonts w:hint="eastAsia" w:ascii="宋体" w:hAnsi="宋体" w:cs="宋体"/>
                <w:kern w:val="0"/>
                <w:sz w:val="18"/>
                <w:szCs w:val="18"/>
              </w:rPr>
              <w:t>101</w:t>
            </w:r>
          </w:p>
        </w:tc>
        <w:tc>
          <w:tcPr>
            <w:tcW w:w="2553" w:type="dxa"/>
            <w:tcBorders>
              <w:top w:val="single" w:color="auto" w:sz="6" w:space="0"/>
              <w:left w:val="single" w:color="auto" w:sz="6" w:space="0"/>
              <w:bottom w:val="single" w:color="auto" w:sz="6" w:space="0"/>
              <w:right w:val="single" w:color="auto" w:sz="6" w:space="0"/>
            </w:tcBorders>
            <w:vAlign w:val="center"/>
          </w:tcPr>
          <w:p w14:paraId="55031165">
            <w:pPr>
              <w:adjustRightInd w:val="0"/>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5</w:t>
            </w:r>
          </w:p>
        </w:tc>
        <w:tc>
          <w:tcPr>
            <w:tcW w:w="3691" w:type="dxa"/>
            <w:tcBorders>
              <w:top w:val="single" w:color="auto" w:sz="6" w:space="0"/>
              <w:left w:val="single" w:color="auto" w:sz="6" w:space="0"/>
              <w:bottom w:val="single" w:color="auto" w:sz="6" w:space="0"/>
              <w:right w:val="single" w:color="auto" w:sz="6" w:space="0"/>
            </w:tcBorders>
            <w:vAlign w:val="center"/>
          </w:tcPr>
          <w:p w14:paraId="291670CC">
            <w:pPr>
              <w:adjustRightInd w:val="0"/>
              <w:snapToGrid w:val="0"/>
              <w:spacing w:line="240" w:lineRule="auto"/>
              <w:jc w:val="center"/>
              <w:rPr>
                <w:rFonts w:hint="eastAsia" w:ascii="宋体" w:hAnsi="宋体" w:cs="宋体"/>
                <w:kern w:val="0"/>
                <w:sz w:val="18"/>
                <w:szCs w:val="18"/>
                <w14:textFill>
                  <w14:gradFill>
                    <w14:gsLst>
                      <w14:gs w14:pos="51300">
                        <w14:srgbClr w14:val="FE5F4A"/>
                      </w14:gs>
                      <w14:gs w14:pos="0">
                        <w14:srgbClr w14:val="DF0303"/>
                      </w14:gs>
                      <w14:gs w14:pos="100000">
                        <w14:srgbClr w14:val="FEA06E"/>
                      </w14:gs>
                    </w14:gsLst>
                    <w14:lin w14:ang="5400000" w14:scaled="1"/>
                  </w14:gradFill>
                </w14:textFill>
              </w:rPr>
            </w:pPr>
            <w:r>
              <w:rPr>
                <w:rFonts w:hint="eastAsia" w:ascii="宋体" w:hAnsi="宋体" w:cs="宋体"/>
                <w:kern w:val="0"/>
                <w:sz w:val="18"/>
                <w:szCs w:val="18"/>
              </w:rPr>
              <w:t>10</w:t>
            </w:r>
          </w:p>
        </w:tc>
      </w:tr>
      <w:tr w14:paraId="02D6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9359" w:type="dxa"/>
            <w:gridSpan w:val="3"/>
            <w:tcBorders>
              <w:top w:val="single" w:color="auto" w:sz="6" w:space="0"/>
              <w:left w:val="single" w:color="auto" w:sz="6" w:space="0"/>
              <w:bottom w:val="single" w:color="auto" w:sz="6" w:space="0"/>
              <w:right w:val="single" w:color="auto" w:sz="6" w:space="0"/>
            </w:tcBorders>
            <w:vAlign w:val="center"/>
          </w:tcPr>
          <w:p w14:paraId="4619CBAA">
            <w:pPr>
              <w:adjustRightInd w:val="0"/>
              <w:snapToGrid w:val="0"/>
              <w:spacing w:line="240" w:lineRule="auto"/>
              <w:ind w:left="-2" w:leftChars="-1" w:firstLine="1"/>
              <w:jc w:val="left"/>
              <w:rPr>
                <w:rFonts w:hint="eastAsia" w:ascii="宋体" w:hAnsi="宋体" w:cs="宋体"/>
                <w:kern w:val="0"/>
                <w:sz w:val="18"/>
                <w:szCs w:val="18"/>
              </w:rPr>
            </w:pPr>
            <w:r>
              <w:rPr>
                <w:rFonts w:hint="eastAsia" w:ascii="宋体" w:hAnsi="宋体" w:cs="宋体"/>
                <w:kern w:val="0"/>
                <w:sz w:val="18"/>
                <w:szCs w:val="18"/>
              </w:rPr>
              <w:t>注1：d为钢丝绳公称直径；</w:t>
            </w:r>
          </w:p>
          <w:p w14:paraId="1D1882CE">
            <w:pPr>
              <w:adjustRightInd w:val="0"/>
              <w:snapToGrid w:val="0"/>
              <w:spacing w:line="240" w:lineRule="auto"/>
              <w:ind w:left="-2" w:leftChars="-1" w:firstLine="1"/>
              <w:jc w:val="left"/>
              <w:rPr>
                <w:rFonts w:hint="eastAsia" w:ascii="宋体" w:hAnsi="宋体" w:cs="宋体"/>
                <w:kern w:val="0"/>
                <w:sz w:val="18"/>
                <w:szCs w:val="18"/>
              </w:rPr>
            </w:pPr>
            <w:r>
              <w:rPr>
                <w:rFonts w:hint="eastAsia" w:ascii="宋体" w:hAnsi="宋体" w:cs="宋体"/>
                <w:kern w:val="0"/>
                <w:sz w:val="18"/>
                <w:szCs w:val="18"/>
              </w:rPr>
              <w:t>注2：如果断丝局部聚集集中在一个或两个相邻的绳股，即使6d长度范围内的断丝数低于表1规定值也应报废；</w:t>
            </w:r>
          </w:p>
          <w:p w14:paraId="519E1831">
            <w:pPr>
              <w:adjustRightInd w:val="0"/>
              <w:snapToGrid w:val="0"/>
              <w:spacing w:line="240" w:lineRule="auto"/>
              <w:ind w:left="-2" w:leftChars="-1" w:firstLine="1"/>
              <w:jc w:val="left"/>
              <w:rPr>
                <w:rFonts w:hint="eastAsia" w:ascii="宋体" w:hAnsi="宋体" w:cs="宋体"/>
                <w:kern w:val="0"/>
                <w:sz w:val="18"/>
                <w:szCs w:val="18"/>
              </w:rPr>
            </w:pPr>
            <w:r>
              <w:rPr>
                <w:rFonts w:hint="eastAsia" w:ascii="宋体" w:hAnsi="宋体" w:cs="宋体"/>
                <w:kern w:val="0"/>
                <w:sz w:val="18"/>
                <w:szCs w:val="18"/>
              </w:rPr>
              <w:t>注3：在6d长度范围内，出现2根或以上的股沟断丝也应报废；</w:t>
            </w:r>
          </w:p>
        </w:tc>
      </w:tr>
    </w:tbl>
    <w:p w14:paraId="63E2AF4C">
      <w:pPr>
        <w:pStyle w:val="177"/>
        <w:numPr>
          <w:ilvl w:val="0"/>
          <w:numId w:val="40"/>
        </w:numPr>
        <w:spacing w:line="276" w:lineRule="auto"/>
        <w:rPr>
          <w:rFonts w:hint="eastAsia"/>
        </w:rPr>
      </w:pPr>
      <w:r>
        <w:rPr>
          <w:rFonts w:hint="eastAsia"/>
        </w:rPr>
        <w:t xml:space="preserve">直径减小：钢丝绳直径均匀减小7%或直径有明显的局部减小； </w:t>
      </w:r>
    </w:p>
    <w:p w14:paraId="7808A1BC">
      <w:pPr>
        <w:pStyle w:val="177"/>
        <w:numPr>
          <w:ilvl w:val="0"/>
          <w:numId w:val="40"/>
        </w:numPr>
        <w:spacing w:line="276" w:lineRule="auto"/>
        <w:rPr>
          <w:rFonts w:hint="eastAsia"/>
        </w:rPr>
      </w:pPr>
      <w:r>
        <w:rPr>
          <w:rFonts w:hint="eastAsia"/>
        </w:rPr>
        <w:t>断股：钢丝绳发生整股断裂；</w:t>
      </w:r>
    </w:p>
    <w:p w14:paraId="38D94AAD">
      <w:pPr>
        <w:pStyle w:val="177"/>
        <w:numPr>
          <w:ilvl w:val="0"/>
          <w:numId w:val="40"/>
        </w:numPr>
        <w:spacing w:line="276" w:lineRule="auto"/>
        <w:rPr>
          <w:rFonts w:hint="eastAsia"/>
        </w:rPr>
      </w:pPr>
      <w:r>
        <w:rPr>
          <w:rFonts w:hint="eastAsia"/>
        </w:rPr>
        <w:t>腐蚀：钢丝绳表面手感粗糙或明显可见的内部锈蚀迹象；</w:t>
      </w:r>
    </w:p>
    <w:p w14:paraId="4D23DB31">
      <w:pPr>
        <w:pStyle w:val="177"/>
        <w:numPr>
          <w:ilvl w:val="0"/>
          <w:numId w:val="40"/>
        </w:numPr>
        <w:spacing w:line="276" w:lineRule="auto"/>
        <w:rPr>
          <w:rFonts w:hint="eastAsia"/>
        </w:rPr>
      </w:pPr>
      <w:r>
        <w:rPr>
          <w:rFonts w:hint="eastAsia"/>
        </w:rPr>
        <w:t>畸形与损伤：钢丝绳出现波浪形、笼状畸形、绳股突出或扭曲、钢丝的环状突出、绳径局部增大、局部扁平、扭结、折弯、热和电弧引起的损伤等情况并达到GB/T 5972-2023中6.7的规定</w:t>
      </w:r>
      <w:r>
        <w:rPr>
          <w:rFonts w:hint="eastAsia"/>
          <w:lang w:eastAsia="zh-CN"/>
        </w:rPr>
        <w:t>；</w:t>
      </w:r>
    </w:p>
    <w:p w14:paraId="43D44D17">
      <w:pPr>
        <w:pStyle w:val="177"/>
        <w:numPr>
          <w:ilvl w:val="0"/>
          <w:numId w:val="40"/>
        </w:numPr>
        <w:spacing w:line="276" w:lineRule="auto"/>
        <w:rPr>
          <w:rFonts w:hint="eastAsia"/>
        </w:rPr>
      </w:pPr>
      <w:r>
        <w:rPr>
          <w:rFonts w:hint="eastAsia"/>
          <w:lang w:val="en-US" w:eastAsia="zh-CN"/>
        </w:rPr>
        <w:t>内置电导体的钢丝绳，电导体断路或可供使用的电导体绝缘电阻小于0.5兆欧</w:t>
      </w:r>
      <w:r>
        <w:rPr>
          <w:rFonts w:hint="eastAsia"/>
        </w:rPr>
        <w:t>。</w:t>
      </w:r>
    </w:p>
    <w:p w14:paraId="42DAA9F5">
      <w:pPr>
        <w:pStyle w:val="108"/>
        <w:spacing w:before="120" w:after="120"/>
      </w:pPr>
      <w:bookmarkStart w:id="98" w:name="_Toc226629912"/>
      <w:bookmarkStart w:id="99" w:name="_Toc225181582"/>
      <w:bookmarkStart w:id="100" w:name="_Toc225181465"/>
      <w:bookmarkStart w:id="101" w:name="_Toc201519618"/>
      <w:bookmarkStart w:id="102" w:name="_Toc227615884"/>
      <w:bookmarkStart w:id="103" w:name="_Toc226629931"/>
      <w:r>
        <w:rPr>
          <w:rFonts w:hint="eastAsia"/>
        </w:rPr>
        <w:t>液压系统</w:t>
      </w:r>
      <w:bookmarkEnd w:id="98"/>
      <w:bookmarkEnd w:id="99"/>
      <w:bookmarkEnd w:id="100"/>
      <w:bookmarkEnd w:id="101"/>
      <w:bookmarkEnd w:id="102"/>
      <w:bookmarkEnd w:id="103"/>
    </w:p>
    <w:p w14:paraId="58D1AA5C">
      <w:pPr>
        <w:pStyle w:val="168"/>
        <w:spacing w:line="276" w:lineRule="auto"/>
      </w:pPr>
      <w:r>
        <w:rPr>
          <w:rFonts w:hint="eastAsia"/>
        </w:rPr>
        <w:t>油缸出现下列情况之一，且无法修复时，视为达到报废条件：</w:t>
      </w:r>
    </w:p>
    <w:p w14:paraId="721FA75D">
      <w:pPr>
        <w:pStyle w:val="177"/>
        <w:numPr>
          <w:ilvl w:val="0"/>
          <w:numId w:val="41"/>
        </w:numPr>
        <w:spacing w:line="276" w:lineRule="auto"/>
      </w:pPr>
      <w:r>
        <w:rPr>
          <w:rFonts w:hint="eastAsia"/>
        </w:rPr>
        <w:t>活塞杆严重锈蚀、磨损或损伤导致渗漏；</w:t>
      </w:r>
    </w:p>
    <w:p w14:paraId="4D99ACCD">
      <w:pPr>
        <w:pStyle w:val="177"/>
        <w:spacing w:line="276" w:lineRule="auto"/>
      </w:pPr>
      <w:r>
        <w:rPr>
          <w:rFonts w:hint="eastAsia"/>
        </w:rPr>
        <w:t>活塞杆受外力导致变形；</w:t>
      </w:r>
    </w:p>
    <w:p w14:paraId="08D3FFA7">
      <w:pPr>
        <w:pStyle w:val="177"/>
        <w:spacing w:line="276" w:lineRule="auto"/>
      </w:pPr>
      <w:r>
        <w:rPr>
          <w:rFonts w:hint="eastAsia"/>
        </w:rPr>
        <w:t>缸筒严重锈蚀或变形；</w:t>
      </w:r>
    </w:p>
    <w:p w14:paraId="2B1A57C2">
      <w:pPr>
        <w:pStyle w:val="177"/>
        <w:spacing w:line="276" w:lineRule="auto"/>
      </w:pPr>
      <w:r>
        <w:rPr>
          <w:rFonts w:hint="eastAsia"/>
        </w:rPr>
        <w:t>多级式液压缸内置液压同步机构失效；</w:t>
      </w:r>
    </w:p>
    <w:p w14:paraId="0795D060">
      <w:pPr>
        <w:pStyle w:val="177"/>
        <w:spacing w:line="276" w:lineRule="auto"/>
      </w:pPr>
      <w:r>
        <w:rPr>
          <w:rFonts w:hint="eastAsia"/>
        </w:rPr>
        <w:t>发生内泄漏，压力达不到要求。</w:t>
      </w:r>
    </w:p>
    <w:p w14:paraId="7A78E5A8">
      <w:pPr>
        <w:pStyle w:val="68"/>
        <w:spacing w:before="120" w:after="120"/>
      </w:pPr>
      <w:bookmarkStart w:id="104" w:name="_Toc225181467"/>
      <w:r>
        <w:rPr>
          <w:rFonts w:hint="eastAsia"/>
        </w:rPr>
        <w:t>管路</w:t>
      </w:r>
      <w:bookmarkEnd w:id="104"/>
    </w:p>
    <w:p w14:paraId="0812BF2E">
      <w:pPr>
        <w:pStyle w:val="167"/>
        <w:spacing w:line="276" w:lineRule="auto"/>
      </w:pPr>
      <w:r>
        <w:rPr>
          <w:rFonts w:hint="eastAsia"/>
        </w:rPr>
        <w:t>液压硬管出现下列情况之一，且无法修复时，视为达到报废条件：</w:t>
      </w:r>
    </w:p>
    <w:p w14:paraId="22E7B1F0">
      <w:pPr>
        <w:pStyle w:val="177"/>
        <w:numPr>
          <w:ilvl w:val="0"/>
          <w:numId w:val="42"/>
        </w:numPr>
        <w:spacing w:line="276" w:lineRule="auto"/>
      </w:pPr>
      <w:r>
        <w:rPr>
          <w:rFonts w:hint="eastAsia"/>
        </w:rPr>
        <w:t>严重腐蚀、变形或渗漏；</w:t>
      </w:r>
    </w:p>
    <w:p w14:paraId="779F6E12">
      <w:pPr>
        <w:pStyle w:val="177"/>
        <w:spacing w:line="276" w:lineRule="auto"/>
      </w:pPr>
      <w:r>
        <w:rPr>
          <w:rFonts w:hint="eastAsia"/>
        </w:rPr>
        <w:t>管接头渗漏。</w:t>
      </w:r>
    </w:p>
    <w:p w14:paraId="4E52B177">
      <w:pPr>
        <w:pStyle w:val="167"/>
        <w:spacing w:line="276" w:lineRule="auto"/>
      </w:pPr>
      <w:r>
        <w:rPr>
          <w:rFonts w:hint="eastAsia"/>
        </w:rPr>
        <w:t>液压软管出现下列情况之一，且无法修复时，视为达到报废条件：</w:t>
      </w:r>
    </w:p>
    <w:p w14:paraId="745B1940">
      <w:pPr>
        <w:pStyle w:val="177"/>
        <w:numPr>
          <w:ilvl w:val="0"/>
          <w:numId w:val="43"/>
        </w:numPr>
        <w:tabs>
          <w:tab w:val="left" w:pos="568"/>
        </w:tabs>
        <w:spacing w:line="276" w:lineRule="auto"/>
      </w:pPr>
      <w:r>
        <w:rPr>
          <w:rFonts w:hint="eastAsia"/>
        </w:rPr>
        <w:t>管接头渗漏；</w:t>
      </w:r>
    </w:p>
    <w:p w14:paraId="3ABA8539">
      <w:pPr>
        <w:pStyle w:val="177"/>
        <w:numPr>
          <w:ilvl w:val="0"/>
          <w:numId w:val="43"/>
        </w:numPr>
        <w:tabs>
          <w:tab w:val="left" w:pos="568"/>
        </w:tabs>
        <w:spacing w:line="276" w:lineRule="auto"/>
      </w:pPr>
      <w:r>
        <w:rPr>
          <w:rFonts w:hint="eastAsia"/>
        </w:rPr>
        <w:t>软管表面破损、老化或开裂，钢丝编织层破损或钢丝穿透胶层。</w:t>
      </w:r>
    </w:p>
    <w:p w14:paraId="00AD55FE">
      <w:pPr>
        <w:pStyle w:val="68"/>
        <w:spacing w:before="120" w:after="120"/>
      </w:pPr>
      <w:bookmarkStart w:id="105" w:name="_Toc225181468"/>
      <w:r>
        <w:rPr>
          <w:rFonts w:hint="eastAsia"/>
        </w:rPr>
        <w:t>液压泵站</w:t>
      </w:r>
      <w:bookmarkEnd w:id="105"/>
    </w:p>
    <w:p w14:paraId="571295E2">
      <w:pPr>
        <w:pStyle w:val="167"/>
        <w:spacing w:line="276" w:lineRule="auto"/>
      </w:pPr>
      <w:r>
        <w:rPr>
          <w:rFonts w:hint="eastAsia"/>
        </w:rPr>
        <w:t>电动机线圈出现短路、断路、接地或烧毁，视为达到报废条件。</w:t>
      </w:r>
    </w:p>
    <w:p w14:paraId="6129FC14">
      <w:pPr>
        <w:pStyle w:val="167"/>
        <w:spacing w:line="276" w:lineRule="auto"/>
      </w:pPr>
      <w:r>
        <w:rPr>
          <w:rFonts w:hint="eastAsia"/>
        </w:rPr>
        <w:t>油泵出现外壳破裂、主螺杆断裂或壳体内腔磨损，视为达到报废条件。</w:t>
      </w:r>
    </w:p>
    <w:p w14:paraId="27F278BE">
      <w:pPr>
        <w:pStyle w:val="167"/>
        <w:spacing w:line="276" w:lineRule="auto"/>
      </w:pPr>
      <w:r>
        <w:rPr>
          <w:rFonts w:hint="eastAsia"/>
        </w:rPr>
        <w:t>阀组出现下列情况之一，且无法修复时视为达到报废条件：</w:t>
      </w:r>
    </w:p>
    <w:p w14:paraId="06EAEF70">
      <w:pPr>
        <w:pStyle w:val="177"/>
        <w:numPr>
          <w:ilvl w:val="0"/>
          <w:numId w:val="44"/>
        </w:numPr>
        <w:spacing w:line="276" w:lineRule="auto"/>
      </w:pPr>
      <w:r>
        <w:rPr>
          <w:rFonts w:hint="eastAsia"/>
        </w:rPr>
        <w:t>阀体开裂；</w:t>
      </w:r>
    </w:p>
    <w:p w14:paraId="723D1F96">
      <w:pPr>
        <w:pStyle w:val="177"/>
        <w:numPr>
          <w:ilvl w:val="0"/>
          <w:numId w:val="44"/>
        </w:numPr>
        <w:spacing w:line="276" w:lineRule="auto"/>
      </w:pPr>
      <w:r>
        <w:rPr>
          <w:rFonts w:hint="eastAsia"/>
        </w:rPr>
        <w:t>阀组功能失效；</w:t>
      </w:r>
    </w:p>
    <w:p w14:paraId="3BA94282">
      <w:pPr>
        <w:pStyle w:val="177"/>
        <w:numPr>
          <w:ilvl w:val="0"/>
          <w:numId w:val="44"/>
        </w:numPr>
        <w:spacing w:line="276" w:lineRule="auto"/>
      </w:pPr>
      <w:r>
        <w:rPr>
          <w:rFonts w:hint="eastAsia"/>
        </w:rPr>
        <w:t>渗漏。</w:t>
      </w:r>
    </w:p>
    <w:p w14:paraId="5AC81A96">
      <w:pPr>
        <w:pStyle w:val="167"/>
        <w:spacing w:line="276" w:lineRule="auto"/>
      </w:pPr>
      <w:r>
        <w:rPr>
          <w:rFonts w:hint="eastAsia"/>
        </w:rPr>
        <w:t>截止阀手柄断裂、阀芯磨损导致泄漏，视为达到报废条件。</w:t>
      </w:r>
    </w:p>
    <w:p w14:paraId="5B054636">
      <w:pPr>
        <w:pStyle w:val="167"/>
        <w:spacing w:line="276" w:lineRule="auto"/>
      </w:pPr>
      <w:r>
        <w:rPr>
          <w:rFonts w:hint="eastAsia"/>
        </w:rPr>
        <w:t>油箱严重锈蚀、变形或破损，视为达到报废条件。</w:t>
      </w:r>
    </w:p>
    <w:p w14:paraId="39BFBD16">
      <w:pPr>
        <w:pStyle w:val="168"/>
        <w:spacing w:line="276" w:lineRule="auto"/>
      </w:pPr>
      <w:r>
        <w:rPr>
          <w:rFonts w:hint="eastAsia"/>
        </w:rPr>
        <w:t>破裂阀出现下列情况之一且无法修复时，视为达到报废条件：</w:t>
      </w:r>
    </w:p>
    <w:p w14:paraId="60ADDAA7">
      <w:pPr>
        <w:pStyle w:val="177"/>
        <w:numPr>
          <w:ilvl w:val="0"/>
          <w:numId w:val="45"/>
        </w:numPr>
        <w:tabs>
          <w:tab w:val="left" w:pos="568"/>
        </w:tabs>
        <w:spacing w:line="276" w:lineRule="auto"/>
      </w:pPr>
      <w:r>
        <w:rPr>
          <w:rFonts w:hint="eastAsia"/>
        </w:rPr>
        <w:t>调节螺杆断裂；</w:t>
      </w:r>
    </w:p>
    <w:p w14:paraId="5F43F23D">
      <w:pPr>
        <w:pStyle w:val="177"/>
        <w:numPr>
          <w:ilvl w:val="0"/>
          <w:numId w:val="45"/>
        </w:numPr>
        <w:tabs>
          <w:tab w:val="left" w:pos="568"/>
        </w:tabs>
        <w:spacing w:line="276" w:lineRule="auto"/>
      </w:pPr>
      <w:r>
        <w:rPr>
          <w:rFonts w:hint="eastAsia"/>
        </w:rPr>
        <w:t>破裂阀功能失效，渗漏。</w:t>
      </w:r>
    </w:p>
    <w:p w14:paraId="53421C63">
      <w:pPr>
        <w:pStyle w:val="165"/>
        <w:spacing w:line="276" w:lineRule="auto"/>
      </w:pPr>
      <w:r>
        <w:rPr>
          <w:rFonts w:hint="eastAsia"/>
        </w:rPr>
        <w:t>回转支承出现下列情况之一且无法修复时，视为达到报废条件：</w:t>
      </w:r>
    </w:p>
    <w:p w14:paraId="6CD3E465">
      <w:pPr>
        <w:pStyle w:val="177"/>
        <w:numPr>
          <w:ilvl w:val="0"/>
          <w:numId w:val="46"/>
        </w:numPr>
        <w:tabs>
          <w:tab w:val="left" w:pos="568"/>
        </w:tabs>
        <w:spacing w:line="276" w:lineRule="auto"/>
      </w:pPr>
      <w:r>
        <w:rPr>
          <w:rFonts w:hint="eastAsia"/>
        </w:rPr>
        <w:t>轮齿塑性变形造成齿面的峰或谷比理论齿形高于或低于轮齿模数的20%；</w:t>
      </w:r>
    </w:p>
    <w:p w14:paraId="74E7540B">
      <w:pPr>
        <w:pStyle w:val="177"/>
        <w:numPr>
          <w:ilvl w:val="0"/>
          <w:numId w:val="46"/>
        </w:numPr>
        <w:tabs>
          <w:tab w:val="left" w:pos="568"/>
        </w:tabs>
        <w:spacing w:line="276" w:lineRule="auto"/>
      </w:pPr>
      <w:r>
        <w:rPr>
          <w:rFonts w:hint="eastAsia"/>
        </w:rPr>
        <w:t>轮齿折断大于等于齿宽的1/5，轮齿裂纹大于等于齿宽的1/8；</w:t>
      </w:r>
    </w:p>
    <w:p w14:paraId="6002ACA6">
      <w:pPr>
        <w:pStyle w:val="177"/>
        <w:numPr>
          <w:ilvl w:val="0"/>
          <w:numId w:val="46"/>
        </w:numPr>
        <w:tabs>
          <w:tab w:val="left" w:pos="568"/>
        </w:tabs>
        <w:spacing w:line="276" w:lineRule="auto"/>
      </w:pPr>
      <w:r>
        <w:rPr>
          <w:rFonts w:hint="eastAsia"/>
        </w:rPr>
        <w:t>齿面点蚀面积达轮齿工作面积的50%；</w:t>
      </w:r>
    </w:p>
    <w:p w14:paraId="573949DF">
      <w:pPr>
        <w:pStyle w:val="177"/>
        <w:numPr>
          <w:ilvl w:val="0"/>
          <w:numId w:val="46"/>
        </w:numPr>
        <w:tabs>
          <w:tab w:val="left" w:pos="568"/>
        </w:tabs>
        <w:spacing w:line="276" w:lineRule="auto"/>
      </w:pPr>
      <w:r>
        <w:rPr>
          <w:rFonts w:hint="eastAsia"/>
        </w:rPr>
        <w:t>齿面胶合面积达工作齿面面积的20%；</w:t>
      </w:r>
    </w:p>
    <w:p w14:paraId="149F5256">
      <w:pPr>
        <w:pStyle w:val="177"/>
        <w:numPr>
          <w:ilvl w:val="255"/>
          <w:numId w:val="0"/>
        </w:numPr>
        <w:tabs>
          <w:tab w:val="left" w:pos="568"/>
          <w:tab w:val="clear" w:pos="851"/>
        </w:tabs>
        <w:spacing w:line="276" w:lineRule="auto"/>
        <w:ind w:left="425"/>
      </w:pPr>
      <w:r>
        <w:rPr>
          <w:rFonts w:hint="eastAsia"/>
        </w:rPr>
        <w:t>[来源：</w:t>
      </w:r>
      <w:r>
        <w:t>GB/T 6067.1-2010，4.2.8</w:t>
      </w:r>
      <w:r>
        <w:rPr>
          <w:rFonts w:hint="eastAsia"/>
        </w:rPr>
        <w:t>]</w:t>
      </w:r>
    </w:p>
    <w:p w14:paraId="60E62AC0">
      <w:pPr>
        <w:pStyle w:val="165"/>
        <w:spacing w:line="276" w:lineRule="auto"/>
      </w:pPr>
      <w:r>
        <w:rPr>
          <w:rFonts w:hint="eastAsia"/>
        </w:rPr>
        <w:t>轨道</w:t>
      </w:r>
      <w:r>
        <w:t>出现下列情况之一且无法修复时，视为达到报废条件：</w:t>
      </w:r>
    </w:p>
    <w:p w14:paraId="426D47C2">
      <w:pPr>
        <w:pStyle w:val="177"/>
        <w:numPr>
          <w:ilvl w:val="0"/>
          <w:numId w:val="47"/>
        </w:numPr>
        <w:spacing w:line="276" w:lineRule="auto"/>
        <w:rPr>
          <w:rFonts w:hint="eastAsia"/>
        </w:rPr>
      </w:pPr>
      <w:r>
        <w:rPr>
          <w:rFonts w:hint="eastAsia"/>
        </w:rPr>
        <w:t>轨道发生失稳，应予以报废；</w:t>
      </w:r>
    </w:p>
    <w:p w14:paraId="1E18736B">
      <w:pPr>
        <w:pStyle w:val="177"/>
        <w:numPr>
          <w:ilvl w:val="0"/>
          <w:numId w:val="47"/>
        </w:numPr>
        <w:spacing w:line="276" w:lineRule="auto"/>
      </w:pPr>
      <w:r>
        <w:rPr>
          <w:rFonts w:hint="eastAsia"/>
        </w:rPr>
        <w:t>轨道因锈蚀、磨损等原因，致使截面减达公称尺寸的10%；</w:t>
      </w:r>
    </w:p>
    <w:p w14:paraId="70AB290E">
      <w:pPr>
        <w:pStyle w:val="177"/>
        <w:numPr>
          <w:ilvl w:val="0"/>
          <w:numId w:val="47"/>
        </w:numPr>
        <w:spacing w:line="276" w:lineRule="auto"/>
      </w:pPr>
      <w:r>
        <w:rPr>
          <w:rFonts w:hint="eastAsia"/>
        </w:rPr>
        <w:t>轨道承受最不利载荷时，挠度大于1/200跨距；</w:t>
      </w:r>
    </w:p>
    <w:p w14:paraId="64175268">
      <w:pPr>
        <w:pStyle w:val="177"/>
        <w:numPr>
          <w:ilvl w:val="0"/>
          <w:numId w:val="47"/>
        </w:numPr>
        <w:spacing w:line="276" w:lineRule="auto"/>
      </w:pPr>
      <w:r>
        <w:rPr>
          <w:rFonts w:hint="eastAsia"/>
        </w:rPr>
        <w:t>轨道产生塑性变形，使擦窗机不能正常的安全运行。</w:t>
      </w:r>
    </w:p>
    <w:p w14:paraId="22220F9F">
      <w:pPr>
        <w:pStyle w:val="107"/>
        <w:spacing w:before="240" w:after="240"/>
      </w:pPr>
      <w:bookmarkStart w:id="106" w:name="_Toc201520349"/>
      <w:bookmarkStart w:id="107" w:name="_Toc225181473"/>
      <w:bookmarkStart w:id="108" w:name="_Toc226629915"/>
      <w:bookmarkStart w:id="109" w:name="_Toc201519628"/>
      <w:bookmarkStart w:id="110" w:name="_Toc225181585"/>
      <w:bookmarkStart w:id="111" w:name="_Toc6953"/>
      <w:bookmarkStart w:id="112" w:name="_Toc201519645"/>
      <w:bookmarkStart w:id="113" w:name="_Toc227615911"/>
      <w:bookmarkStart w:id="114" w:name="_Toc226629934"/>
      <w:bookmarkStart w:id="115" w:name="_Toc227615885"/>
      <w:bookmarkStart w:id="116" w:name="_Toc30343"/>
      <w:r>
        <w:rPr>
          <w:rFonts w:hint="eastAsia"/>
        </w:rPr>
        <w:t>记录</w:t>
      </w:r>
      <w:bookmarkEnd w:id="106"/>
      <w:bookmarkEnd w:id="107"/>
      <w:bookmarkEnd w:id="108"/>
      <w:bookmarkEnd w:id="109"/>
      <w:bookmarkEnd w:id="110"/>
      <w:bookmarkEnd w:id="111"/>
      <w:bookmarkEnd w:id="112"/>
      <w:bookmarkEnd w:id="113"/>
      <w:bookmarkEnd w:id="114"/>
      <w:bookmarkEnd w:id="115"/>
      <w:bookmarkEnd w:id="116"/>
    </w:p>
    <w:p w14:paraId="5CE0C68F">
      <w:pPr>
        <w:pStyle w:val="165"/>
        <w:spacing w:line="276" w:lineRule="auto"/>
      </w:pPr>
      <w:r>
        <w:rPr>
          <w:rFonts w:hint="eastAsia"/>
        </w:rPr>
        <w:t>擦窗机</w:t>
      </w:r>
      <w:r>
        <w:rPr>
          <w:rFonts w:hint="eastAsia"/>
          <w:lang w:eastAsia="zh-CN"/>
        </w:rPr>
        <w:t>主要零部件</w:t>
      </w:r>
      <w:r>
        <w:rPr>
          <w:rFonts w:hint="eastAsia"/>
        </w:rPr>
        <w:t>的报废应记录。</w:t>
      </w:r>
    </w:p>
    <w:p w14:paraId="0FBE0C60">
      <w:pPr>
        <w:pStyle w:val="165"/>
        <w:spacing w:line="276" w:lineRule="auto"/>
      </w:pPr>
      <w:r>
        <w:t>判</w:t>
      </w:r>
      <w:r>
        <w:rPr>
          <w:rFonts w:hint="eastAsia"/>
        </w:rPr>
        <w:t>废</w:t>
      </w:r>
      <w:r>
        <w:rPr>
          <w:rFonts w:hint="eastAsia"/>
          <w:lang w:eastAsia="zh-CN"/>
        </w:rPr>
        <w:t>记录</w:t>
      </w:r>
      <w:r>
        <w:rPr>
          <w:rFonts w:hint="eastAsia"/>
        </w:rPr>
        <w:t>应</w:t>
      </w:r>
      <w:r>
        <w:rPr>
          <w:rFonts w:hint="eastAsia"/>
          <w:lang w:eastAsia="zh-CN"/>
        </w:rPr>
        <w:t>包含主要零</w:t>
      </w:r>
      <w:r>
        <w:t>部件的名称、型号、</w:t>
      </w:r>
      <w:r>
        <w:rPr>
          <w:rFonts w:hint="eastAsia"/>
          <w:lang w:eastAsia="zh-CN"/>
        </w:rPr>
        <w:t>报废</w:t>
      </w:r>
      <w:r>
        <w:t>原因、判废日期等信息</w:t>
      </w:r>
      <w:r>
        <w:rPr>
          <w:rFonts w:hint="eastAsia"/>
        </w:rPr>
        <w:t>。</w:t>
      </w:r>
    </w:p>
    <w:bookmarkEnd w:id="25"/>
    <w:p w14:paraId="4ACD97DC">
      <w:pPr>
        <w:pStyle w:val="59"/>
        <w:ind w:firstLine="0" w:firstLineChars="0"/>
        <w:jc w:val="center"/>
      </w:pPr>
      <w:bookmarkStart w:id="117" w:name="BookMark8"/>
      <w:r>
        <w:drawing>
          <wp:inline distT="0" distB="0" distL="0" distR="0">
            <wp:extent cx="1485900" cy="317500"/>
            <wp:effectExtent l="0" t="0" r="0" b="6350"/>
            <wp:docPr id="93347478" name="图片 1"/>
            <wp:cNvGraphicFramePr/>
            <a:graphic xmlns:a="http://schemas.openxmlformats.org/drawingml/2006/main">
              <a:graphicData uri="http://schemas.openxmlformats.org/drawingml/2006/picture">
                <pic:pic xmlns:pic="http://schemas.openxmlformats.org/drawingml/2006/picture">
                  <pic:nvPicPr>
                    <pic:cNvPr id="93347478"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7"/>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910C8">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9C8B9">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C67B7">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47855">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0E7A7">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52493">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D2D0A">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8A853">
    <w:pPr>
      <w:pStyle w:val="64"/>
      <w:rPr>
        <w:rFonts w:hint="eastAsia"/>
      </w:rPr>
    </w:pPr>
    <w:r>
      <w:fldChar w:fldCharType="begin"/>
    </w:r>
    <w:r>
      <w:instrText xml:space="preserve"> STYLEREF  标准文件_文件编号  \* MERGEFORMAT </w:instrText>
    </w:r>
    <w:r>
      <w:fldChar w:fldCharType="separate"/>
    </w:r>
    <w:r>
      <w:t>T/CCMA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1986"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3OWE2NWVmNjYxNTUwMjgzNmQxYmFlOTNlODdhOTAifQ=="/>
  </w:docVars>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38D2"/>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645"/>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4B55"/>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3E4"/>
    <w:rsid w:val="00165434"/>
    <w:rsid w:val="0016580B"/>
    <w:rsid w:val="00165F49"/>
    <w:rsid w:val="00166B88"/>
    <w:rsid w:val="0016770A"/>
    <w:rsid w:val="00170804"/>
    <w:rsid w:val="001708E9"/>
    <w:rsid w:val="00172A27"/>
    <w:rsid w:val="0017340B"/>
    <w:rsid w:val="00173FB1"/>
    <w:rsid w:val="00176DFD"/>
    <w:rsid w:val="001852C9"/>
    <w:rsid w:val="00187573"/>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0D4E"/>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7DC3"/>
    <w:rsid w:val="002F30E0"/>
    <w:rsid w:val="002F35E4"/>
    <w:rsid w:val="002F3730"/>
    <w:rsid w:val="002F38E1"/>
    <w:rsid w:val="002F7AF6"/>
    <w:rsid w:val="00300E63"/>
    <w:rsid w:val="00302D8C"/>
    <w:rsid w:val="00302F5F"/>
    <w:rsid w:val="0030441D"/>
    <w:rsid w:val="00306063"/>
    <w:rsid w:val="00313B85"/>
    <w:rsid w:val="00317988"/>
    <w:rsid w:val="00317D76"/>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8B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36E"/>
    <w:rsid w:val="003A2D77"/>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30C"/>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D23"/>
    <w:rsid w:val="004F391A"/>
    <w:rsid w:val="004F3CFB"/>
    <w:rsid w:val="004F4E5E"/>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1364"/>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309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25D"/>
    <w:rsid w:val="00672060"/>
    <w:rsid w:val="00672BFD"/>
    <w:rsid w:val="0067340B"/>
    <w:rsid w:val="006770F4"/>
    <w:rsid w:val="00677A84"/>
    <w:rsid w:val="0068026D"/>
    <w:rsid w:val="00680A27"/>
    <w:rsid w:val="006816A4"/>
    <w:rsid w:val="006819B8"/>
    <w:rsid w:val="006840A6"/>
    <w:rsid w:val="006850CD"/>
    <w:rsid w:val="00685AAB"/>
    <w:rsid w:val="00693962"/>
    <w:rsid w:val="00694AF3"/>
    <w:rsid w:val="006A07AA"/>
    <w:rsid w:val="006A25E5"/>
    <w:rsid w:val="006A2B46"/>
    <w:rsid w:val="006A336D"/>
    <w:rsid w:val="006A37B9"/>
    <w:rsid w:val="006B2672"/>
    <w:rsid w:val="006B54BF"/>
    <w:rsid w:val="006B5CA9"/>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0EE0"/>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C3F"/>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4E1"/>
    <w:rsid w:val="007C4593"/>
    <w:rsid w:val="007C5309"/>
    <w:rsid w:val="007C6069"/>
    <w:rsid w:val="007D06C4"/>
    <w:rsid w:val="007D1352"/>
    <w:rsid w:val="007D2508"/>
    <w:rsid w:val="007D346A"/>
    <w:rsid w:val="007D6518"/>
    <w:rsid w:val="007D76BD"/>
    <w:rsid w:val="007E0BF1"/>
    <w:rsid w:val="007F0ED8"/>
    <w:rsid w:val="007F0F63"/>
    <w:rsid w:val="007F5C11"/>
    <w:rsid w:val="007F75CE"/>
    <w:rsid w:val="008013A4"/>
    <w:rsid w:val="008027CE"/>
    <w:rsid w:val="00802F42"/>
    <w:rsid w:val="00804383"/>
    <w:rsid w:val="00804BB7"/>
    <w:rsid w:val="00804D41"/>
    <w:rsid w:val="00810257"/>
    <w:rsid w:val="008104F5"/>
    <w:rsid w:val="00811072"/>
    <w:rsid w:val="00811369"/>
    <w:rsid w:val="00813B5D"/>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006A"/>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50E"/>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3DED"/>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677F"/>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806"/>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125"/>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41F5"/>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0DE5"/>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613"/>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2CC"/>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3E4F"/>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535"/>
    <w:rsid w:val="00FE1FBE"/>
    <w:rsid w:val="00FE3901"/>
    <w:rsid w:val="00FE39D3"/>
    <w:rsid w:val="00FE4BCE"/>
    <w:rsid w:val="00FE54AE"/>
    <w:rsid w:val="00FE576A"/>
    <w:rsid w:val="00FE7E79"/>
    <w:rsid w:val="00FF3E7D"/>
    <w:rsid w:val="00FF5B99"/>
    <w:rsid w:val="00FF730C"/>
    <w:rsid w:val="00FF73F4"/>
    <w:rsid w:val="00FF7CE4"/>
    <w:rsid w:val="00FF7E39"/>
    <w:rsid w:val="05854275"/>
    <w:rsid w:val="12442DF5"/>
    <w:rsid w:val="1A9D5EA3"/>
    <w:rsid w:val="1D587221"/>
    <w:rsid w:val="1E30465B"/>
    <w:rsid w:val="1E6C7ADC"/>
    <w:rsid w:val="25791AFE"/>
    <w:rsid w:val="2614179E"/>
    <w:rsid w:val="26E85902"/>
    <w:rsid w:val="2AF13A20"/>
    <w:rsid w:val="2FC172BD"/>
    <w:rsid w:val="32181B95"/>
    <w:rsid w:val="362650CF"/>
    <w:rsid w:val="37BD4022"/>
    <w:rsid w:val="3BB64C0D"/>
    <w:rsid w:val="3BF72477"/>
    <w:rsid w:val="3E311EBF"/>
    <w:rsid w:val="41FA5252"/>
    <w:rsid w:val="4447497A"/>
    <w:rsid w:val="4B36070E"/>
    <w:rsid w:val="4DCC5443"/>
    <w:rsid w:val="579F2603"/>
    <w:rsid w:val="5ABB6BFB"/>
    <w:rsid w:val="5AE9052D"/>
    <w:rsid w:val="5B6740DC"/>
    <w:rsid w:val="5C320AC8"/>
    <w:rsid w:val="5C621F3B"/>
    <w:rsid w:val="6958090C"/>
    <w:rsid w:val="6B743B44"/>
    <w:rsid w:val="6CF313BC"/>
    <w:rsid w:val="6FD06B82"/>
    <w:rsid w:val="701B63D1"/>
    <w:rsid w:val="7803238B"/>
    <w:rsid w:val="78F166F0"/>
    <w:rsid w:val="7C343C33"/>
    <w:rsid w:val="7D5260F0"/>
    <w:rsid w:val="7DE34815"/>
    <w:rsid w:val="7F933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6"/>
    <w:semiHidden/>
    <w:unhideWhenUsed/>
    <w:qFormat/>
    <w:uiPriority w:val="99"/>
    <w:rPr>
      <w:b/>
      <w:bCs/>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tabs>
        <w:tab w:val="left" w:pos="360"/>
      </w:tabs>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tabs>
        <w:tab w:val="left" w:pos="360"/>
      </w:tabs>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tabs>
        <w:tab w:val="left" w:pos="360"/>
      </w:tabs>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next w:val="1"/>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tabs>
        <w:tab w:val="left" w:pos="360"/>
      </w:tabs>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4">
    <w:name w:val="修订2"/>
    <w:hidden/>
    <w:unhideWhenUsed/>
    <w:qFormat/>
    <w:uiPriority w:val="99"/>
    <w:rPr>
      <w:rFonts w:ascii="Calibri" w:hAnsi="Calibri" w:eastAsia="宋体" w:cs="Times New Roman"/>
      <w:kern w:val="2"/>
      <w:sz w:val="21"/>
      <w:szCs w:val="21"/>
      <w:lang w:val="en-US" w:eastAsia="zh-CN" w:bidi="ar-SA"/>
    </w:rPr>
  </w:style>
  <w:style w:type="character" w:customStyle="1" w:styleId="235">
    <w:name w:val="批注文字 字符"/>
    <w:basedOn w:val="30"/>
    <w:link w:val="13"/>
    <w:qFormat/>
    <w:uiPriority w:val="99"/>
    <w:rPr>
      <w:kern w:val="2"/>
      <w:sz w:val="21"/>
      <w:szCs w:val="21"/>
    </w:rPr>
  </w:style>
  <w:style w:type="character" w:customStyle="1" w:styleId="236">
    <w:name w:val="批注主题 字符"/>
    <w:basedOn w:val="235"/>
    <w:link w:val="27"/>
    <w:semiHidden/>
    <w:qFormat/>
    <w:uiPriority w:val="99"/>
    <w:rPr>
      <w:b/>
      <w:bCs/>
      <w:kern w:val="2"/>
      <w:sz w:val="21"/>
      <w:szCs w:val="21"/>
    </w:rPr>
  </w:style>
  <w:style w:type="paragraph" w:customStyle="1" w:styleId="237">
    <w:name w:val="Revision"/>
    <w:hidden/>
    <w:unhideWhenUsed/>
    <w:qFormat/>
    <w:uiPriority w:val="99"/>
    <w:rPr>
      <w:rFonts w:ascii="Calibri" w:hAnsi="Calibri" w:eastAsia="宋体" w:cs="Times New Roman"/>
      <w:kern w:val="2"/>
      <w:sz w:val="21"/>
      <w:szCs w:val="21"/>
      <w:lang w:val="en-US" w:eastAsia="zh-CN" w:bidi="ar-SA"/>
    </w:rPr>
  </w:style>
  <w:style w:type="paragraph" w:styleId="23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7EB584DDFC45949C900B38C4A05A9E"/>
        <w:style w:val=""/>
        <w:category>
          <w:name w:val="常规"/>
          <w:gallery w:val="placeholder"/>
        </w:category>
        <w:types>
          <w:type w:val="bbPlcHdr"/>
        </w:types>
        <w:behaviors>
          <w:behavior w:val="content"/>
        </w:behaviors>
        <w:description w:val=""/>
        <w:guid w:val="{4899CE4D-C61E-4D68-A289-B03DB373E4B3}"/>
      </w:docPartPr>
      <w:docPartBody>
        <w:p w14:paraId="2A7892F5">
          <w:pPr>
            <w:pStyle w:val="5"/>
            <w:rPr>
              <w:rFonts w:hint="eastAsia"/>
            </w:rPr>
          </w:pPr>
          <w:r>
            <w:rPr>
              <w:rStyle w:val="4"/>
              <w:rFonts w:hint="eastAsia"/>
            </w:rPr>
            <w:t>单击或点击此处输入文字。</w:t>
          </w:r>
        </w:p>
      </w:docPartBody>
    </w:docPart>
    <w:docPart>
      <w:docPartPr>
        <w:name w:val="7E74171B42BC41C998B20FB1DFAE2AF8"/>
        <w:style w:val=""/>
        <w:category>
          <w:name w:val="常规"/>
          <w:gallery w:val="placeholder"/>
        </w:category>
        <w:types>
          <w:type w:val="bbPlcHdr"/>
        </w:types>
        <w:behaviors>
          <w:behavior w:val="content"/>
        </w:behaviors>
        <w:description w:val=""/>
        <w:guid w:val="{5A7BDB30-4ECA-4E95-8237-B9F771A9112A}"/>
      </w:docPartPr>
      <w:docPartBody>
        <w:p w14:paraId="633EE33C">
          <w:pPr>
            <w:pStyle w:val="6"/>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FD6"/>
    <w:rsid w:val="000338D2"/>
    <w:rsid w:val="00097645"/>
    <w:rsid w:val="002E7DC3"/>
    <w:rsid w:val="002F7598"/>
    <w:rsid w:val="004F1D23"/>
    <w:rsid w:val="00512269"/>
    <w:rsid w:val="005C3CA6"/>
    <w:rsid w:val="006B5CA9"/>
    <w:rsid w:val="00755C3F"/>
    <w:rsid w:val="00815ED6"/>
    <w:rsid w:val="00B0407D"/>
    <w:rsid w:val="00B80106"/>
    <w:rsid w:val="00C40DE5"/>
    <w:rsid w:val="00CD6323"/>
    <w:rsid w:val="00DB67C5"/>
    <w:rsid w:val="00E3008C"/>
    <w:rsid w:val="00E95FD6"/>
    <w:rsid w:val="00FC56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17EB584DDFC45949C900B38C4A05A9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E74171B42BC41C998B20FB1DFAE2AF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BE9C96911EFD4835BAB63B57F645F04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357d872c-28ce-4bfa-b6fb-f9ed374252d5</errorID>
      <errorWord>。</errorWord>
      <group>L1_AI</group>
      <groupName>深度校对</groupName>
      <ability>L2_AI_Grammar</ability>
      <abilityName>语法纠错</abilityName>
      <candidateList>
        <item>。此句无错误。</item>
      </candidateList>
      <explain/>
      <paraID>246E1908</paraID>
      <start>33</start>
      <end>41</end>
      <status>modified</status>
      <modifiedWord>。此句无错误。</modifiedWord>
      <trackRevisions>true</trackRevisions>
    </reviewItem>
    <reviewItem>
      <errorID>56193c55-7c4f-411e-805f-879cca9b5ff8</errorID>
      <errorWord>作废</errorWord>
      <group>L1_AI</group>
      <groupName>深度校对</groupName>
      <ability>L2_AI_Word</ability>
      <abilityName>字词纠错</abilityName>
      <candidateList>
        <item>报废</item>
      </candidateList>
      <explain/>
      <paraID>37A8293C</paraID>
      <start>20</start>
      <end>22</end>
      <status>unmodified</status>
      <modifiedWord/>
      <trackRevisions>false</trackRevisions>
    </reviewItem>
    <reviewItem>
      <errorID>c44deac4-1705-4297-9015-70309a023723</errorID>
      <errorWord>应</errorWord>
      <group>L1_AI</group>
      <groupName>深度校对</groupName>
      <ability>L2_AI_Grammar</ability>
      <abilityName>语法纠错</abilityName>
      <candidateList>
        <item>应予以</item>
      </candidateList>
      <explain/>
      <paraID>302DECDD</paraID>
      <start>32</start>
      <end>33</end>
      <status>unmodified</status>
      <modifiedWord/>
      <trackRevisions>false</trackRevisions>
    </reviewItem>
    <reviewItem>
      <errorID>32bfa99f-b21c-4f37-a8af-83e6f5e0e412</errorID>
      <errorWord>；</errorWord>
      <group>L1_AI</group>
      <groupName>深度校对</groupName>
      <ability>L2_AI_Punc</ability>
      <abilityName>标点纠错</abilityName>
      <candidateList>
        <item>。</item>
      </candidateList>
      <explain/>
      <paraID>3E78B716</paraID>
      <start>34</start>
      <end>35</end>
      <status>unmodified</status>
      <modifiedWord/>
      <trackRevisions>false</trackRevisions>
    </reviewItem>
    <reviewItem>
      <errorID>e83ac1e8-62ea-4768-b519-19af0e4ddaa2</errorID>
      <errorWord>；</errorWord>
      <group>L1_AI</group>
      <groupName>深度校对</groupName>
      <ability>L2_AI_Grammar</ability>
      <abilityName>语法纠错</abilityName>
      <candidateList>
        <item>，应予以报废；</item>
      </candidateList>
      <explain/>
      <paraID>20712BB1</paraID>
      <start>16</start>
      <end>17</end>
      <status>unmodified</status>
      <modifiedWord/>
      <trackRevisions>false</trackRevisions>
    </reviewItem>
    <reviewItem>
      <errorID>dd1f40dc-4eb8-431e-bfda-703bd0db0d88</errorID>
      <errorWord>；</errorWord>
      <group>L1_AI</group>
      <groupName>深度校对</groupName>
      <ability>L2_AI_Grammar</ability>
      <abilityName>语法纠错</abilityName>
      <candidateList>
        <item>，应予以报废；</item>
      </candidateList>
      <explain/>
      <paraID>30A5F733</paraID>
      <start>17</start>
      <end>18</end>
      <status>unmodified</status>
      <modifiedWord/>
      <trackRevisions>false</trackRevisions>
    </reviewItem>
    <reviewItem>
      <errorID>65e59e57-7a99-46d8-ba00-86de31cbda87</errorID>
      <errorWord>；</errorWord>
      <group>L1_AI</group>
      <groupName>深度校对</groupName>
      <ability>L2_AI_Grammar</ability>
      <abilityName>语法纠错</abilityName>
      <candidateList>
        <item>，应予以报废；</item>
      </candidateList>
      <explain/>
      <paraID>6A092775</paraID>
      <start>12</start>
      <end>13</end>
      <status>unmodified</status>
      <modifiedWord/>
      <trackRevisions>false</trackRevisions>
    </reviewItem>
    <reviewItem>
      <errorID>7ad6f3c6-d549-494d-89ec-1dbcc3e626fc</errorID>
      <errorWord>；</errorWord>
      <group>L1_AI</group>
      <groupName>深度校对</groupName>
      <ability>L2_AI_Grammar</ability>
      <abilityName>语法纠错</abilityName>
      <candidateList>
        <item>，应予以报废；</item>
      </candidateList>
      <explain/>
      <paraID>3967EA20</paraID>
      <start>52</start>
      <end>53</end>
      <status>unmodified</status>
      <modifiedWord/>
      <trackRevisions>false</trackRevisions>
    </reviewItem>
    <reviewItem>
      <errorID>da72b7cf-fac6-4882-84b0-8df36d5617af</errorID>
      <errorWord>；</errorWord>
      <group>L1_AI</group>
      <groupName>深度校对</groupName>
      <ability>L2_AI_Grammar</ability>
      <abilityName>语法纠错</abilityName>
      <candidateList>
        <item>，应予以报废；</item>
      </candidateList>
      <explain/>
      <paraID>628DA4FD</paraID>
      <start>19</start>
      <end>20</end>
      <status>unmodified</status>
      <modifiedWord/>
      <trackRevisions>false</trackRevisions>
    </reviewItem>
    <reviewItem>
      <errorID>a82a3b1b-111a-4824-9f39-519e42bec8bb</errorID>
      <errorWord>；</errorWord>
      <group>L1_AI</group>
      <groupName>深度校对</groupName>
      <ability>L2_AI_Grammar</ability>
      <abilityName>语法纠错</abilityName>
      <candidateList>
        <item>，应予以报废；</item>
      </candidateList>
      <explain/>
      <paraID>6EFF762B</paraID>
      <start>8</start>
      <end>9</end>
      <status>unmodified</status>
      <modifiedWord/>
      <trackRevisions>false</trackRevisions>
    </reviewItem>
    <reviewItem>
      <errorID>8498fdbc-6018-4486-b02b-e952da67811e</errorID>
      <errorWord>；</errorWord>
      <group>L1_AI</group>
      <groupName>深度校对</groupName>
      <ability>L2_AI_Grammar</ability>
      <abilityName>语法纠错</abilityName>
      <candidateList>
        <item>，应予以报废；</item>
      </candidateList>
      <explain/>
      <paraID>562EC242</paraID>
      <start>30</start>
      <end>31</end>
      <status>unmodified</status>
      <modifiedWord/>
      <trackRevisions>false</trackRevisions>
    </reviewItem>
    <reviewItem>
      <errorID>426ecde9-421b-4e3b-91a7-ed71598e851b</errorID>
      <errorWord>；</errorWord>
      <group>L1_AI</group>
      <groupName>深度校对</groupName>
      <ability>L2_AI_Grammar</ability>
      <abilityName>语法纠错</abilityName>
      <candidateList>
        <item>，应予以报废；</item>
      </candidateList>
      <explain/>
      <paraID>5ADF4DC5</paraID>
      <start>26</start>
      <end>27</end>
      <status>unmodified</status>
      <modifiedWord/>
      <trackRevisions>false</trackRevisions>
    </reviewItem>
    <reviewItem>
      <errorID>3701d6f5-1189-475c-b6e5-73d20ea24444</errorID>
      <errorWord>；</errorWord>
      <group>L1_AI</group>
      <groupName>深度校对</groupName>
      <ability>L2_AI_Grammar</ability>
      <abilityName>语法纠错</abilityName>
      <candidateList>
        <item>，应予以报废；</item>
      </candidateList>
      <explain/>
      <paraID>43B758B5</paraID>
      <start>26</start>
      <end>27</end>
      <status>unmodified</status>
      <modifiedWord/>
      <trackRevisions>false</trackRevisions>
    </reviewItem>
    <reviewItem>
      <errorID>0c870f62-268b-4ae2-8631-54976b631f97</errorID>
      <errorWord>；</errorWord>
      <group>L1_AI</group>
      <groupName>深度校对</groupName>
      <ability>L2_AI_Grammar</ability>
      <abilityName>语法纠错</abilityName>
      <candidateList>
        <item>，应予以报废；</item>
      </candidateList>
      <explain/>
      <paraID>6BD2DEEF</paraID>
      <start>20</start>
      <end>21</end>
      <status>unmodified</status>
      <modifiedWord/>
      <trackRevisions>false</trackRevisions>
    </reviewItem>
    <reviewItem>
      <errorID>ea83f9bc-7dfd-4838-aeed-5593676b8528</errorID>
      <errorWord>；</errorWord>
      <group>L1_AI</group>
      <groupName>深度校对</groupName>
      <ability>L2_AI_Grammar</ability>
      <abilityName>语法纠错</abilityName>
      <candidateList>
        <item>，应予以报废；</item>
      </candidateList>
      <explain/>
      <paraID>13BF6619</paraID>
      <start>12</start>
      <end>13</end>
      <status>unmodified</status>
      <modifiedWord/>
      <trackRevisions>false</trackRevisions>
    </reviewItem>
    <reviewItem>
      <errorID>1f6cf541-ec04-42e1-95a3-8eaaa5f6a44f</errorID>
      <errorWord>；</errorWord>
      <group>L1_AI</group>
      <groupName>深度校对</groupName>
      <ability>L2_AI_Grammar</ability>
      <abilityName>语法纠错</abilityName>
      <candidateList>
        <item>，应予以报废；</item>
      </candidateList>
      <explain/>
      <paraID>7E367B38</paraID>
      <start>11</start>
      <end>12</end>
      <status>unmodified</status>
      <modifiedWord/>
      <trackRevisions>false</trackRevisions>
    </reviewItem>
    <reviewItem>
      <errorID>72ab03db-824f-4a06-aa11-f82a6348cec6</errorID>
      <errorWord>。</errorWord>
      <group>L1_AI</group>
      <groupName>深度校对</groupName>
      <ability>L2_AI_Grammar</ability>
      <abilityName>语法纠错</abilityName>
      <candidateList>
        <item>，应予以报废。</item>
      </candidateList>
      <explain/>
      <paraID> B221101</paraID>
      <start>4</start>
      <end>5</end>
      <status>unmodified</status>
      <modifiedWord/>
      <trackRevisions>false</trackRevisions>
    </reviewItem>
    <reviewItem>
      <errorID>88610650-df16-4c26-b796-84036595d7c2</errorID>
      <errorWord>，</errorWord>
      <group>L1_AI</group>
      <groupName>深度校对</groupName>
      <ability>L2_AI_Grammar</ability>
      <abilityName>语法纠错</abilityName>
      <candidateList>
        <item>之一，</item>
      </candidateList>
      <explain/>
      <paraID>68211162</paraID>
      <start>11</start>
      <end>12</end>
      <status>unmodified</status>
      <modifiedWord/>
      <trackRevisions>false</trackRevisions>
    </reviewItem>
    <reviewItem>
      <errorID>322ffd45-d1e5-4112-a8ae-c7ca60ade603</errorID>
      <errorWord>在在</errorWord>
      <group>L1_Word</group>
      <groupName>字词问题</groupName>
      <ability>L2_Typo</ability>
      <abilityName>字词错误</abilityName>
      <candidateList>
        <item>在</item>
      </candidateList>
      <explain>❶〈动〉存在；生存：精神永～｜留得青山～，不怕没柴烧｜父母都～。❷〈动〉表示人或事物的位置：我今天晚上不～厂里｜你的钢笔～桌子上呢。❸〈动〉留在：～职｜～位。❹〈动〉参加（某团体）；属于（某团体）：～党｜～组织。❺〈动〉在于；决定于：事～人为｜学习好，主要～自己努力。❻“在”和“所”连用，表示强调，下面多连“不”：～所不辞｜～所不惜｜～所不计｜～所难免。</explain>
      <paraID>3CAA059C</paraID>
      <start>11</start>
      <end>17</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40DF21-5AAE-4F8D-88C6-103FB569FF13}">
  <ds:schemaRefs/>
</ds:datastoreItem>
</file>

<file path=customXml/itemProps3.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8</Pages>
  <Words>3367</Words>
  <Characters>3841</Characters>
  <Lines>30</Lines>
  <Paragraphs>8</Paragraphs>
  <TotalTime>0</TotalTime>
  <ScaleCrop>false</ScaleCrop>
  <LinksUpToDate>false</LinksUpToDate>
  <CharactersWithSpaces>3947</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2025-06-22T13:14:00Z</dcterms:created>
  <dc:creator>冬杰刘</dc:creator>
  <dc:description>&lt;config cover="true" show_menu="true" version="1.0.0" doctype="SDKXY"&gt;_x000d_
&lt;/config&gt;</dc:description>
  <cp:lastModifiedBy>蒋燕</cp:lastModifiedBy>
  <cp:lastPrinted>2026-04-28T09:29:00Z</cp:lastPrinted>
  <dcterms:modified xsi:type="dcterms:W3CDTF">2026-05-08T03:15:56Z</dcterms:modified>
  <dc:title>团体标准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2052-12.1.0.18334</vt:lpwstr>
  </property>
  <property fmtid="{D5CDD505-2E9C-101B-9397-08002B2CF9AE}" pid="15" name="ICV">
    <vt:lpwstr>93BDAE046CEE431BAC438DD116606272_13</vt:lpwstr>
  </property>
  <property fmtid="{D5CDD505-2E9C-101B-9397-08002B2CF9AE}" pid="16" name="KSOTemplateDocerSaveRecord">
    <vt:lpwstr>eyJoZGlkIjoiNGM3ZGMzMTcwODU4OTc1YjkwNjY1ZjIyYWQ0NWMzZDciLCJ1c2VySWQiOiIyNzg5OTExNTcifQ==</vt:lpwstr>
  </property>
</Properties>
</file>